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8B1" w:rsidRPr="00C47852" w:rsidRDefault="00D968B1" w:rsidP="00C47852">
      <w:pPr>
        <w:pStyle w:val="Textoindependiente"/>
        <w:widowControl/>
        <w:tabs>
          <w:tab w:val="left" w:pos="6521"/>
        </w:tabs>
        <w:suppressAutoHyphens w:val="0"/>
        <w:ind w:left="3828" w:right="2126" w:hanging="1134"/>
        <w:rPr>
          <w:rFonts w:cs="Tahoma"/>
          <w:i/>
          <w:sz w:val="20"/>
        </w:rPr>
      </w:pPr>
      <w:r w:rsidRPr="00C47852">
        <w:rPr>
          <w:rFonts w:cs="Tahoma"/>
          <w:b/>
          <w:i/>
          <w:sz w:val="20"/>
        </w:rPr>
        <w:t>Sumilla</w:t>
      </w:r>
      <w:r w:rsidRPr="00C47852">
        <w:rPr>
          <w:rFonts w:cs="Tahoma"/>
          <w:i/>
          <w:sz w:val="20"/>
        </w:rPr>
        <w:t xml:space="preserve">: </w:t>
      </w:r>
      <w:r w:rsidRPr="00C47852">
        <w:rPr>
          <w:rFonts w:cs="Tahoma"/>
          <w:i/>
          <w:sz w:val="20"/>
        </w:rPr>
        <w:tab/>
      </w:r>
      <w:r w:rsidR="00C47852" w:rsidRPr="00C47852">
        <w:rPr>
          <w:rFonts w:cs="Tahoma"/>
          <w:i/>
          <w:sz w:val="20"/>
        </w:rPr>
        <w:t>D</w:t>
      </w:r>
      <w:r w:rsidR="00C47852">
        <w:rPr>
          <w:rFonts w:cs="Tahoma"/>
          <w:i/>
          <w:sz w:val="20"/>
        </w:rPr>
        <w:t>entro de los dos</w:t>
      </w:r>
      <w:r w:rsidR="00C47852" w:rsidRPr="00C47852">
        <w:rPr>
          <w:rFonts w:cs="Tahoma"/>
          <w:i/>
          <w:sz w:val="20"/>
        </w:rPr>
        <w:t xml:space="preserve"> días hábiles siguientes al consentimiento de la buena pro, la Entidad deberá citar al postor ganador, otorgándol</w:t>
      </w:r>
      <w:r w:rsidR="00C47852">
        <w:rPr>
          <w:rFonts w:cs="Tahoma"/>
          <w:i/>
          <w:sz w:val="20"/>
        </w:rPr>
        <w:t xml:space="preserve">e un plazo mínimo de cinco días y máximo de diez </w:t>
      </w:r>
      <w:r w:rsidR="00C47852" w:rsidRPr="00C47852">
        <w:rPr>
          <w:rFonts w:cs="Tahoma"/>
          <w:i/>
          <w:sz w:val="20"/>
        </w:rPr>
        <w:t xml:space="preserve"> días hábiles dentro del cual deberá presentarse a suscribir el contrato con toda la documentación requerida</w:t>
      </w:r>
      <w:r w:rsidRPr="00C47852">
        <w:rPr>
          <w:rFonts w:cs="Tahoma"/>
          <w:i/>
          <w:sz w:val="20"/>
        </w:rPr>
        <w:t xml:space="preserve">.  </w:t>
      </w:r>
    </w:p>
    <w:p w:rsidR="00D968B1" w:rsidRPr="00C47852" w:rsidRDefault="00D968B1" w:rsidP="00D968B1">
      <w:pPr>
        <w:pStyle w:val="Textoindependiente"/>
        <w:widowControl/>
        <w:tabs>
          <w:tab w:val="left" w:pos="6804"/>
        </w:tabs>
        <w:suppressAutoHyphens w:val="0"/>
        <w:ind w:left="3544" w:right="1843" w:hanging="992"/>
        <w:rPr>
          <w:rFonts w:cs="Tahoma"/>
          <w:sz w:val="20"/>
        </w:rPr>
      </w:pPr>
      <w:r w:rsidRPr="00C47852">
        <w:rPr>
          <w:rFonts w:cs="Tahoma"/>
          <w:sz w:val="20"/>
        </w:rPr>
        <w:t xml:space="preserve"> </w:t>
      </w:r>
    </w:p>
    <w:p w:rsidR="00D968B1" w:rsidRPr="00C47852" w:rsidRDefault="004708B0" w:rsidP="00D968B1">
      <w:pPr>
        <w:pStyle w:val="Textoindependiente3"/>
        <w:spacing w:after="0"/>
        <w:ind w:left="4956" w:firstLine="84"/>
        <w:jc w:val="both"/>
        <w:rPr>
          <w:rFonts w:ascii="Tahoma" w:hAnsi="Tahoma" w:cs="Tahoma"/>
          <w:b/>
          <w:sz w:val="20"/>
          <w:szCs w:val="20"/>
        </w:rPr>
      </w:pPr>
      <w:r>
        <w:rPr>
          <w:rFonts w:ascii="Tahoma" w:hAnsi="Tahoma" w:cs="Tahoma"/>
          <w:b/>
          <w:sz w:val="20"/>
          <w:szCs w:val="20"/>
        </w:rPr>
        <w:t xml:space="preserve">          </w:t>
      </w:r>
      <w:r w:rsidR="00D968B1" w:rsidRPr="00C47852">
        <w:rPr>
          <w:rFonts w:ascii="Tahoma" w:hAnsi="Tahoma" w:cs="Tahoma"/>
          <w:b/>
          <w:sz w:val="20"/>
          <w:szCs w:val="20"/>
        </w:rPr>
        <w:t xml:space="preserve">Lima,  </w:t>
      </w:r>
      <w:r>
        <w:rPr>
          <w:rFonts w:ascii="Tahoma" w:hAnsi="Tahoma" w:cs="Tahoma"/>
          <w:b/>
          <w:sz w:val="20"/>
          <w:szCs w:val="20"/>
        </w:rPr>
        <w:t>17 DE ENERO DE 2011</w:t>
      </w:r>
    </w:p>
    <w:p w:rsidR="00D968B1" w:rsidRPr="00C47852" w:rsidRDefault="00D968B1" w:rsidP="00D968B1">
      <w:pPr>
        <w:pStyle w:val="Textoindependiente"/>
        <w:tabs>
          <w:tab w:val="left" w:pos="540"/>
        </w:tabs>
        <w:rPr>
          <w:rFonts w:cs="Tahoma"/>
          <w:b/>
          <w:sz w:val="20"/>
          <w:lang w:val="es-PE"/>
        </w:rPr>
      </w:pPr>
    </w:p>
    <w:p w:rsidR="00D968B1" w:rsidRPr="00C47852" w:rsidRDefault="00D968B1" w:rsidP="00D968B1">
      <w:pPr>
        <w:jc w:val="both"/>
        <w:rPr>
          <w:rFonts w:ascii="Tahoma" w:hAnsi="Tahoma" w:cs="Tahoma"/>
        </w:rPr>
      </w:pPr>
      <w:r w:rsidRPr="00C47852">
        <w:rPr>
          <w:rFonts w:ascii="Tahoma" w:hAnsi="Tahoma" w:cs="Tahoma"/>
          <w:b/>
        </w:rPr>
        <w:t>Visto</w:t>
      </w:r>
      <w:r w:rsidRPr="00C47852">
        <w:rPr>
          <w:rFonts w:ascii="Tahoma" w:hAnsi="Tahoma" w:cs="Tahoma"/>
        </w:rPr>
        <w:t xml:space="preserve"> en sesión de fecha 10 de enero de 2011 de la Primera Sala del Tribunal de Contrataciones del Estado el Expediente N° 1065.2010.TC, sobre el procedimiento de aplicación de sanción a la empresa Seguridad y Protección Elite S.R.LTDA, por supuesta responsabilidad en no suscribir el contrato de manera injustificada, derivado del Concurso Público Nº 001-2009/ENAPU S.A./TPCHI, efectuado por la Empresa Nacional de Puertos – ENAPU, para la contratación del servicio de vigilancia privada</w:t>
      </w:r>
      <w:r w:rsidRPr="00C47852">
        <w:rPr>
          <w:rFonts w:ascii="Tahoma" w:hAnsi="Tahoma" w:cs="Tahoma"/>
          <w:bCs/>
          <w:lang w:val="es-ES_tradnl"/>
        </w:rPr>
        <w:t>,</w:t>
      </w:r>
      <w:r w:rsidRPr="00C47852">
        <w:rPr>
          <w:rFonts w:ascii="Tahoma" w:hAnsi="Tahoma" w:cs="Tahoma"/>
          <w:color w:val="000000"/>
        </w:rPr>
        <w:t xml:space="preserve"> atendiendo a los siguientes:    </w:t>
      </w:r>
    </w:p>
    <w:p w:rsidR="00D968B1" w:rsidRPr="00C47852" w:rsidRDefault="00D968B1" w:rsidP="00D968B1">
      <w:pPr>
        <w:pStyle w:val="Textoindependiente"/>
        <w:widowControl/>
        <w:tabs>
          <w:tab w:val="left" w:pos="540"/>
        </w:tabs>
        <w:suppressAutoHyphens w:val="0"/>
        <w:rPr>
          <w:rFonts w:cs="Tahoma"/>
          <w:sz w:val="20"/>
        </w:rPr>
      </w:pPr>
    </w:p>
    <w:p w:rsidR="00D968B1" w:rsidRPr="00C47852" w:rsidRDefault="00D968B1" w:rsidP="00D968B1">
      <w:pPr>
        <w:jc w:val="both"/>
        <w:rPr>
          <w:rFonts w:ascii="Tahoma" w:hAnsi="Tahoma" w:cs="Tahoma"/>
          <w:b/>
          <w:shadow/>
        </w:rPr>
      </w:pPr>
      <w:r w:rsidRPr="00C47852">
        <w:rPr>
          <w:rFonts w:ascii="Tahoma" w:hAnsi="Tahoma" w:cs="Tahoma"/>
          <w:b/>
          <w:shadow/>
        </w:rPr>
        <w:t>ANTECEDENTES:</w:t>
      </w:r>
    </w:p>
    <w:p w:rsidR="00D968B1" w:rsidRPr="00C47852" w:rsidRDefault="00D968B1" w:rsidP="00D968B1">
      <w:pPr>
        <w:ind w:left="720"/>
        <w:rPr>
          <w:rFonts w:ascii="Tahoma" w:hAnsi="Tahoma" w:cs="Tahoma"/>
        </w:rPr>
      </w:pPr>
    </w:p>
    <w:p w:rsidR="00D968B1" w:rsidRPr="00C47852" w:rsidRDefault="00D968B1" w:rsidP="00D968B1">
      <w:pPr>
        <w:numPr>
          <w:ilvl w:val="0"/>
          <w:numId w:val="5"/>
        </w:numPr>
        <w:jc w:val="both"/>
        <w:rPr>
          <w:rFonts w:ascii="Tahoma" w:hAnsi="Tahoma" w:cs="Tahoma"/>
        </w:rPr>
      </w:pPr>
      <w:r w:rsidRPr="00C47852">
        <w:rPr>
          <w:rFonts w:ascii="Tahoma" w:hAnsi="Tahoma" w:cs="Tahoma"/>
        </w:rPr>
        <w:t>El 18 de diciembre de 2009, la Empresa Nacional de Puertos - ENAPU, en adelante la Entidad, convocó al Concurso Público Nº 001-2009/ENAPU S.A./TPCHI, efectuado para la contratación del servicio de vigilancia privada,  por un valor referencial total ascendente a S/.354,846.36 nuevos soles.</w:t>
      </w:r>
    </w:p>
    <w:p w:rsidR="00D968B1" w:rsidRPr="00C47852" w:rsidRDefault="00D968B1" w:rsidP="00D968B1">
      <w:pPr>
        <w:ind w:left="360"/>
        <w:rPr>
          <w:rFonts w:ascii="Tahoma" w:hAnsi="Tahoma" w:cs="Tahoma"/>
        </w:rPr>
      </w:pPr>
    </w:p>
    <w:p w:rsidR="00D968B1" w:rsidRPr="00C47852" w:rsidRDefault="00D968B1" w:rsidP="00D968B1">
      <w:pPr>
        <w:numPr>
          <w:ilvl w:val="0"/>
          <w:numId w:val="5"/>
        </w:numPr>
        <w:jc w:val="both"/>
        <w:rPr>
          <w:rFonts w:ascii="Tahoma" w:hAnsi="Tahoma" w:cs="Tahoma"/>
        </w:rPr>
      </w:pPr>
      <w:r w:rsidRPr="00C47852">
        <w:rPr>
          <w:rFonts w:ascii="Tahoma" w:hAnsi="Tahoma" w:cs="Tahoma"/>
        </w:rPr>
        <w:t>El 28 de enero de 2010 se llevó a cabo el acto público de otorgamiento de la buena pro, en el que resultó favorecido la empresa Seguridad y Protección Elite S.R.LTDA, en adelante el Postor.</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t>Mediante Carta Nº 001-2010-ENAPU S.A./TPCHI/CEP, de fecha 10 de febrero de 2010, la Entidad citó a la Contratista para la suscripción del contrato, para tal efecto, se señaló en dicha comunicación que deberá presentarse con los documentos exigidos en las Bases del Proceso, teniendo como plazo máximo el 24 de febrero de 2010.</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t>Mediante Carta de fecha 24 de febrero de 2010, el Postor remitió la documentación requerida para la firma del contrato.</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t>Con Carta Notarial Nº 099-2010-ENAPU S.A./TPCHI/G de fecha 25 de febrero de 2010, la Entidad le indicó al Postor que no había cumplido con presentar la documentación completa para la firma del contrato, pues no se adjuntó copia del Seguro Complementario de trabajo de Riesgo y Pensión. Por tal motivo, se le devolvió la documentación presentada.</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t>Mediante escrito de fecha 12 de agosto de 2010, la Entidad comunicó al Tribunal de Contrataciones del Estado, en adelante el Tribunal, que el Postor habría incurrido en presunta responsabilidad por la no suscripción injustificada de contrato. Como sustento de sus imputaciones remitió el Informe Legal Nº 072-2010-ENAPU S.A</w:t>
      </w:r>
      <w:proofErr w:type="gramStart"/>
      <w:r w:rsidRPr="00C47852">
        <w:rPr>
          <w:rFonts w:ascii="Tahoma" w:hAnsi="Tahoma" w:cs="Tahoma"/>
        </w:rPr>
        <w:t>./</w:t>
      </w:r>
      <w:proofErr w:type="gramEnd"/>
      <w:r w:rsidRPr="00C47852">
        <w:rPr>
          <w:rFonts w:ascii="Tahoma" w:hAnsi="Tahoma" w:cs="Tahoma"/>
        </w:rPr>
        <w:t>OAJ de fecha 09 de julio de 2010, el cual concluye en la responsabilidad del Contratista.</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lastRenderedPageBreak/>
        <w:t>En atención a la denuncia formulada, por decreto de fecha 17 de agosto de 2010, el Tribunal dispuso iniciar procedimiento administrativo sancionador contra el Postor por su supuesta responsabilidad en la no suscripción injustificada de contrato, derivado del proceso de selección Concurso Público Nº 001-2009/ENAPU S.A./TPCHI, infracción tipificada en el literal a) del artículo 51.1 de la Ley y 237 del Reglamento, aprobado mediante Decreto Legislativo Nº 1017 y Decreto Supremo Nº 184-2008-EF, respectivamente, y se le emplazó para que en plazo de diez (10) días cumpla con presentar sus descargos.</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t>Con escritos de fechas 14 y 29 de octubre de 2010, el Postor presentó sus descargos en los siguientes términos:</w:t>
      </w:r>
    </w:p>
    <w:p w:rsidR="00D968B1" w:rsidRPr="00C47852" w:rsidRDefault="00D968B1" w:rsidP="00D968B1">
      <w:pPr>
        <w:pStyle w:val="Prrafodelista"/>
        <w:jc w:val="both"/>
        <w:rPr>
          <w:sz w:val="20"/>
          <w:szCs w:val="20"/>
        </w:rPr>
      </w:pPr>
    </w:p>
    <w:p w:rsidR="00D968B1" w:rsidRPr="00C47852" w:rsidRDefault="00D968B1" w:rsidP="00D968B1">
      <w:pPr>
        <w:pStyle w:val="Prrafodelista"/>
        <w:numPr>
          <w:ilvl w:val="0"/>
          <w:numId w:val="6"/>
        </w:numPr>
        <w:jc w:val="both"/>
        <w:rPr>
          <w:sz w:val="20"/>
          <w:szCs w:val="20"/>
        </w:rPr>
      </w:pPr>
      <w:r w:rsidRPr="00C47852">
        <w:rPr>
          <w:sz w:val="20"/>
          <w:szCs w:val="20"/>
        </w:rPr>
        <w:t>Con Carta Nº 050-201-ELITE se solicitó a la empresa Seguros y Reaseguros la Positiva, la emisión de las Pólizas de Seguro Complementario de Trabajo de Riesgo en Salud y Pensión, por el periodo de un año.</w:t>
      </w:r>
    </w:p>
    <w:p w:rsidR="00D968B1" w:rsidRPr="00C47852" w:rsidRDefault="00D968B1" w:rsidP="00D968B1">
      <w:pPr>
        <w:pStyle w:val="Prrafodelista"/>
        <w:ind w:left="1440"/>
        <w:jc w:val="both"/>
        <w:rPr>
          <w:sz w:val="20"/>
          <w:szCs w:val="20"/>
        </w:rPr>
      </w:pPr>
    </w:p>
    <w:p w:rsidR="00D968B1" w:rsidRPr="00C47852" w:rsidRDefault="00D968B1" w:rsidP="00D968B1">
      <w:pPr>
        <w:pStyle w:val="Prrafodelista"/>
        <w:numPr>
          <w:ilvl w:val="0"/>
          <w:numId w:val="6"/>
        </w:numPr>
        <w:jc w:val="both"/>
        <w:rPr>
          <w:sz w:val="20"/>
          <w:szCs w:val="20"/>
        </w:rPr>
      </w:pPr>
      <w:r w:rsidRPr="00C47852">
        <w:rPr>
          <w:sz w:val="20"/>
          <w:szCs w:val="20"/>
        </w:rPr>
        <w:t>En virtud a ello, la referida empresa aseguradora emitió la Cobertura Provisional de Seguro Complementario de Trabajo de Riesgo – STR, documento que fue presentado ante la Entidad para la firma de contrato, el cual, a pesar de haber sido emitido de manera temporal hasta la emisión de la Póliza,  no fue considerado por la Entidad y se procedió a devolver la integridad de los documentos remitidos.</w:t>
      </w:r>
    </w:p>
    <w:p w:rsidR="00D968B1" w:rsidRPr="00C47852" w:rsidRDefault="00D968B1" w:rsidP="00D968B1">
      <w:pPr>
        <w:pStyle w:val="Prrafodelista"/>
        <w:rPr>
          <w:sz w:val="20"/>
          <w:szCs w:val="20"/>
        </w:rPr>
      </w:pPr>
    </w:p>
    <w:p w:rsidR="00D968B1" w:rsidRPr="00C47852" w:rsidRDefault="00D968B1" w:rsidP="00D968B1">
      <w:pPr>
        <w:pStyle w:val="Prrafodelista"/>
        <w:numPr>
          <w:ilvl w:val="0"/>
          <w:numId w:val="6"/>
        </w:numPr>
        <w:jc w:val="both"/>
        <w:rPr>
          <w:sz w:val="20"/>
          <w:szCs w:val="20"/>
        </w:rPr>
      </w:pPr>
      <w:r w:rsidRPr="00C47852">
        <w:rPr>
          <w:sz w:val="20"/>
          <w:szCs w:val="20"/>
        </w:rPr>
        <w:t>Por otro lado, al haberse presentado más de un postor, el consentimiento de la buena pro se producirá a los 08 días hábiles de notificación. En el presente caso, la Entidad agraviada notificó el 09 de febrero de 2010 el consentimiento de la buena pro, mediante la Carta Nº 099-2010-ENAPU S.A., es decir antes que quede consentida la buena pro. Por dicha razón no se habría cumplido con los plazos señalados normativamente.</w:t>
      </w:r>
    </w:p>
    <w:p w:rsidR="00D968B1" w:rsidRPr="00C47852" w:rsidRDefault="00D968B1" w:rsidP="00D968B1">
      <w:pPr>
        <w:pStyle w:val="Prrafodelista"/>
        <w:rPr>
          <w:sz w:val="20"/>
          <w:szCs w:val="20"/>
        </w:rPr>
      </w:pPr>
    </w:p>
    <w:p w:rsidR="00D968B1" w:rsidRPr="00C47852" w:rsidRDefault="00D968B1" w:rsidP="00D968B1">
      <w:pPr>
        <w:pStyle w:val="Prrafodelista"/>
        <w:numPr>
          <w:ilvl w:val="0"/>
          <w:numId w:val="6"/>
        </w:numPr>
        <w:jc w:val="both"/>
        <w:rPr>
          <w:sz w:val="20"/>
          <w:szCs w:val="20"/>
        </w:rPr>
      </w:pPr>
      <w:r w:rsidRPr="00C47852">
        <w:rPr>
          <w:sz w:val="20"/>
          <w:szCs w:val="20"/>
        </w:rPr>
        <w:t>No se ha  incumplido con la suscripción del contrato de manera dolosa, sino que por el contrario, en todo momento se tuvo la intención de vincularse con la Entidad.</w:t>
      </w:r>
    </w:p>
    <w:p w:rsidR="00D968B1" w:rsidRPr="00C47852" w:rsidRDefault="00D968B1" w:rsidP="00D968B1">
      <w:pPr>
        <w:pStyle w:val="Prrafodelista"/>
        <w:rPr>
          <w:sz w:val="20"/>
          <w:szCs w:val="20"/>
        </w:rPr>
      </w:pPr>
    </w:p>
    <w:p w:rsidR="00D968B1" w:rsidRPr="00C47852" w:rsidRDefault="00D968B1" w:rsidP="00D968B1">
      <w:pPr>
        <w:pStyle w:val="Prrafodelista"/>
        <w:numPr>
          <w:ilvl w:val="0"/>
          <w:numId w:val="6"/>
        </w:numPr>
        <w:jc w:val="both"/>
        <w:rPr>
          <w:sz w:val="20"/>
          <w:szCs w:val="20"/>
        </w:rPr>
      </w:pPr>
      <w:r w:rsidRPr="00C47852">
        <w:rPr>
          <w:sz w:val="20"/>
          <w:szCs w:val="20"/>
        </w:rPr>
        <w:t>Por mala interpretación en los dispositivos legales, inexperiencia en la contratación con el Estado y por falta de una asesoría  efectiva, es que se incurrió en dicha omisión al momento de suscribir el contrato.</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rPr>
        <w:t>Con decreto de fecha 04 de noviembre de 2010, se tuvo por apersonado al Postor, por presentado sus descargos, por señalado su domicilio procesal y se remitió el expediente a la Primera Sala del Tribunal para que emita pronunciamiento.</w:t>
      </w:r>
    </w:p>
    <w:p w:rsidR="00D968B1" w:rsidRPr="00C47852" w:rsidRDefault="00D968B1" w:rsidP="00D968B1">
      <w:pPr>
        <w:ind w:left="720"/>
        <w:rPr>
          <w:rFonts w:ascii="Tahoma" w:hAnsi="Tahoma" w:cs="Tahoma"/>
        </w:rPr>
      </w:pPr>
    </w:p>
    <w:p w:rsidR="00D968B1" w:rsidRPr="00C47852" w:rsidRDefault="00D968B1" w:rsidP="00D968B1">
      <w:pPr>
        <w:numPr>
          <w:ilvl w:val="0"/>
          <w:numId w:val="5"/>
        </w:numPr>
        <w:jc w:val="both"/>
        <w:rPr>
          <w:rFonts w:ascii="Tahoma" w:hAnsi="Tahoma" w:cs="Tahoma"/>
        </w:rPr>
      </w:pPr>
      <w:r w:rsidRPr="00C47852">
        <w:rPr>
          <w:rFonts w:ascii="Tahoma" w:hAnsi="Tahoma" w:cs="Tahoma"/>
        </w:rPr>
        <w:t>Con decreto de fecha 11 de noviembre de 2010, se requirió información adicional a la Entidad.</w:t>
      </w:r>
    </w:p>
    <w:p w:rsidR="00D968B1" w:rsidRPr="00C47852" w:rsidRDefault="00D968B1" w:rsidP="00D968B1">
      <w:pPr>
        <w:pStyle w:val="Prrafodelista"/>
        <w:rPr>
          <w:sz w:val="20"/>
          <w:szCs w:val="20"/>
        </w:rPr>
      </w:pPr>
    </w:p>
    <w:p w:rsidR="00D968B1" w:rsidRPr="00C47852" w:rsidRDefault="00D968B1" w:rsidP="00D968B1">
      <w:pPr>
        <w:numPr>
          <w:ilvl w:val="0"/>
          <w:numId w:val="5"/>
        </w:numPr>
        <w:jc w:val="both"/>
        <w:rPr>
          <w:rFonts w:ascii="Tahoma" w:hAnsi="Tahoma" w:cs="Tahoma"/>
        </w:rPr>
      </w:pPr>
      <w:r w:rsidRPr="00C47852">
        <w:rPr>
          <w:rFonts w:ascii="Tahoma" w:hAnsi="Tahoma" w:cs="Tahoma"/>
          <w:lang w:val="es-ES_tradnl"/>
        </w:rPr>
        <w:t>Con escrito de fecha 03 de enero de 2011, la Entidad remitió la información requerida.</w:t>
      </w:r>
    </w:p>
    <w:p w:rsidR="00D968B1" w:rsidRPr="00C47852" w:rsidRDefault="00D968B1" w:rsidP="00D968B1">
      <w:pPr>
        <w:pStyle w:val="Prrafodelista"/>
        <w:rPr>
          <w:sz w:val="20"/>
          <w:szCs w:val="20"/>
        </w:rPr>
      </w:pPr>
    </w:p>
    <w:p w:rsidR="00D968B1" w:rsidRPr="00C47852" w:rsidRDefault="00D968B1" w:rsidP="00D968B1">
      <w:pPr>
        <w:jc w:val="both"/>
        <w:rPr>
          <w:rFonts w:ascii="Tahoma" w:hAnsi="Tahoma" w:cs="Tahoma"/>
          <w:b/>
          <w:shadow/>
        </w:rPr>
      </w:pPr>
      <w:r w:rsidRPr="00C47852">
        <w:rPr>
          <w:rFonts w:ascii="Tahoma" w:hAnsi="Tahoma" w:cs="Tahoma"/>
          <w:b/>
          <w:shadow/>
        </w:rPr>
        <w:t>FUNDAMENTACIÓN:</w:t>
      </w:r>
    </w:p>
    <w:p w:rsidR="00D968B1" w:rsidRPr="00C47852" w:rsidRDefault="00D968B1" w:rsidP="00D968B1">
      <w:pPr>
        <w:rPr>
          <w:rFonts w:ascii="Tahoma" w:hAnsi="Tahoma" w:cs="Tahoma"/>
          <w:b/>
          <w:bCs/>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rPr>
        <w:t xml:space="preserve"> El presente procedimiento está referido a la imputación formulada contra el  Postor Seguridad y Protección Elite S.R.LTDA, por supuesta responsabilidad al no suscribir injustificadamente el contrato derivado de la Concurso Público Nº 001-2009/ENAPU </w:t>
      </w:r>
      <w:r w:rsidRPr="00C47852">
        <w:rPr>
          <w:rFonts w:ascii="Tahoma" w:hAnsi="Tahoma" w:cs="Tahoma"/>
        </w:rPr>
        <w:lastRenderedPageBreak/>
        <w:t>S.A./TPCHI;</w:t>
      </w:r>
      <w:r w:rsidRPr="00C47852">
        <w:rPr>
          <w:rFonts w:ascii="Tahoma" w:hAnsi="Tahoma" w:cs="Tahoma"/>
          <w:lang w:val="es-ES_tradnl"/>
        </w:rPr>
        <w:t xml:space="preserve"> </w:t>
      </w:r>
      <w:r w:rsidRPr="00C47852">
        <w:rPr>
          <w:rFonts w:ascii="Tahoma" w:hAnsi="Tahoma" w:cs="Tahoma"/>
        </w:rPr>
        <w:t>infracción tipificada en el numeral 51.1 literal a)) del artículo 51 de la Ley de Contrataciones del Estado y en el numeral 1 literal a) del artículo 237 del Reglamento de la Ley, aprobado por Decreto Legislativo Nº 1017</w:t>
      </w:r>
      <w:r w:rsidRPr="00C47852">
        <w:rPr>
          <w:rStyle w:val="Refdenotaalpie"/>
          <w:rFonts w:ascii="Tahoma" w:hAnsi="Tahoma" w:cs="Tahoma"/>
        </w:rPr>
        <w:footnoteReference w:id="2"/>
      </w:r>
      <w:r w:rsidRPr="00C47852">
        <w:rPr>
          <w:rFonts w:ascii="Tahoma" w:hAnsi="Tahoma" w:cs="Tahoma"/>
        </w:rPr>
        <w:t>, y Decreto Supremo N.° 184-2008-EF</w:t>
      </w:r>
      <w:r w:rsidRPr="00C47852">
        <w:rPr>
          <w:rStyle w:val="Refdenotaalpie"/>
          <w:rFonts w:ascii="Tahoma" w:hAnsi="Tahoma" w:cs="Tahoma"/>
        </w:rPr>
        <w:footnoteReference w:id="3"/>
      </w:r>
      <w:r w:rsidRPr="00C47852">
        <w:rPr>
          <w:rFonts w:ascii="Tahoma" w:hAnsi="Tahoma" w:cs="Tahoma"/>
        </w:rPr>
        <w:t>,respectivamente, normas vigentes al suscitarse los hechos.</w:t>
      </w:r>
    </w:p>
    <w:p w:rsidR="00D968B1" w:rsidRPr="00C47852" w:rsidRDefault="00D968B1" w:rsidP="00D968B1">
      <w:pPr>
        <w:tabs>
          <w:tab w:val="num" w:pos="1080"/>
        </w:tabs>
        <w:ind w:left="567"/>
        <w:rPr>
          <w:rFonts w:ascii="Tahoma" w:hAnsi="Tahoma" w:cs="Tahoma"/>
          <w:lang w:val="es-ES_tradnl"/>
        </w:rPr>
      </w:pPr>
    </w:p>
    <w:p w:rsidR="00D968B1" w:rsidRPr="00C47852" w:rsidRDefault="00C47852" w:rsidP="00D968B1">
      <w:pPr>
        <w:numPr>
          <w:ilvl w:val="1"/>
          <w:numId w:val="8"/>
        </w:numPr>
        <w:ind w:left="720"/>
        <w:jc w:val="both"/>
        <w:rPr>
          <w:rFonts w:ascii="Tahoma" w:hAnsi="Tahoma" w:cs="Tahoma"/>
          <w:lang w:val="es-ES_tradnl"/>
        </w:rPr>
      </w:pPr>
      <w:r>
        <w:rPr>
          <w:rFonts w:ascii="Tahoma" w:hAnsi="Tahoma" w:cs="Tahoma"/>
        </w:rPr>
        <w:t xml:space="preserve"> </w:t>
      </w:r>
      <w:r w:rsidR="00D968B1" w:rsidRPr="00C47852">
        <w:rPr>
          <w:rFonts w:ascii="Tahoma" w:hAnsi="Tahoma" w:cs="Tahoma"/>
        </w:rPr>
        <w:t xml:space="preserve">El procedimiento para suscribir el contrato ha sido previsto en el numeral 1) del artículo 148º del Reglamento, el cual dispone que dentro de los dos (02) días hábiles siguientes al consentimiento de la buena pro, la Entidad deberá citar al postor ganador, otorgándole un plazo mínimo de cinco (05) días y máximo de diez (10) días hábiles dentro del cual deberá presentarse a suscribir el contrato con toda la documentación requerida. Asimismo, </w:t>
      </w:r>
      <w:r w:rsidR="00D968B1" w:rsidRPr="00C47852">
        <w:rPr>
          <w:rFonts w:ascii="Tahoma" w:hAnsi="Tahoma" w:cs="Tahoma"/>
          <w:lang w:val="es-ES_tradnl"/>
        </w:rPr>
        <w:t>el citado dispositivo reglamentario precisa que, e</w:t>
      </w:r>
      <w:r w:rsidR="00D968B1" w:rsidRPr="00C47852">
        <w:rPr>
          <w:rFonts w:ascii="Tahoma" w:hAnsi="Tahoma" w:cs="Tahoma"/>
        </w:rPr>
        <w:t>n caso que el postor no se presente dentro del plazo otorgado, perderá automáticamente la buena pro, sin perjuicio de la imposición administrativamente aplicable.</w:t>
      </w:r>
    </w:p>
    <w:p w:rsidR="00D968B1" w:rsidRPr="00C47852" w:rsidRDefault="00D968B1" w:rsidP="00D968B1">
      <w:pPr>
        <w:pStyle w:val="Prrafodelista"/>
        <w:rPr>
          <w:sz w:val="20"/>
          <w:szCs w:val="20"/>
        </w:rPr>
      </w:pPr>
    </w:p>
    <w:p w:rsidR="00D968B1" w:rsidRPr="00C47852" w:rsidRDefault="00C47852" w:rsidP="00D968B1">
      <w:pPr>
        <w:numPr>
          <w:ilvl w:val="1"/>
          <w:numId w:val="8"/>
        </w:numPr>
        <w:ind w:left="720"/>
        <w:jc w:val="both"/>
        <w:rPr>
          <w:rFonts w:ascii="Tahoma" w:hAnsi="Tahoma" w:cs="Tahoma"/>
          <w:lang w:val="es-ES_tradnl"/>
        </w:rPr>
      </w:pPr>
      <w:r>
        <w:rPr>
          <w:rFonts w:ascii="Tahoma" w:hAnsi="Tahoma" w:cs="Tahoma"/>
          <w:lang w:val="es-ES_tradnl"/>
        </w:rPr>
        <w:t xml:space="preserve"> </w:t>
      </w:r>
      <w:r w:rsidR="00D968B1" w:rsidRPr="00C47852">
        <w:rPr>
          <w:rFonts w:ascii="Tahoma" w:hAnsi="Tahoma" w:cs="Tahoma"/>
          <w:lang w:val="es-ES_tradnl"/>
        </w:rPr>
        <w:t xml:space="preserve">El cumplimiento de este procedimiento es </w:t>
      </w:r>
      <w:r w:rsidR="00D968B1" w:rsidRPr="00C47852">
        <w:rPr>
          <w:rFonts w:ascii="Tahoma" w:hAnsi="Tahoma" w:cs="Tahoma"/>
          <w:b/>
          <w:bCs/>
          <w:i/>
          <w:iCs/>
          <w:lang w:val="es-ES_tradnl"/>
        </w:rPr>
        <w:t>condición necesaria</w:t>
      </w:r>
      <w:r w:rsidR="00D968B1" w:rsidRPr="00C47852">
        <w:rPr>
          <w:rFonts w:ascii="Tahoma" w:hAnsi="Tahoma" w:cs="Tahoma"/>
          <w:lang w:val="es-ES_tradnl"/>
        </w:rPr>
        <w:t xml:space="preserve"> para evaluar la existencia de eventuales responsabilidades por la comisión de la infracción tipificada en el literal a) del artículo 51.1 y 237º de la Ley y el Reglamento.</w:t>
      </w:r>
    </w:p>
    <w:p w:rsidR="00D968B1" w:rsidRPr="00C47852" w:rsidRDefault="00D968B1" w:rsidP="00D968B1">
      <w:pPr>
        <w:pStyle w:val="Prrafodelista"/>
        <w:rPr>
          <w:sz w:val="20"/>
          <w:szCs w:val="20"/>
        </w:rPr>
      </w:pPr>
    </w:p>
    <w:p w:rsidR="00D968B1" w:rsidRPr="00C47852" w:rsidRDefault="00C47852" w:rsidP="00D968B1">
      <w:pPr>
        <w:numPr>
          <w:ilvl w:val="1"/>
          <w:numId w:val="8"/>
        </w:numPr>
        <w:ind w:left="720"/>
        <w:jc w:val="both"/>
        <w:rPr>
          <w:rFonts w:ascii="Tahoma" w:hAnsi="Tahoma" w:cs="Tahoma"/>
          <w:lang w:val="es-ES_tradnl"/>
        </w:rPr>
      </w:pPr>
      <w:r>
        <w:rPr>
          <w:rFonts w:ascii="Tahoma" w:hAnsi="Tahoma" w:cs="Tahoma"/>
          <w:lang w:val="es-ES_tradnl"/>
        </w:rPr>
        <w:t xml:space="preserve"> </w:t>
      </w:r>
      <w:r w:rsidR="00D968B1" w:rsidRPr="00C47852">
        <w:rPr>
          <w:rFonts w:ascii="Tahoma" w:hAnsi="Tahoma" w:cs="Tahoma"/>
          <w:lang w:val="es-ES_tradnl"/>
        </w:rPr>
        <w:t>En ese sentido, corresponde determinar de manera previa, si la Entidad ha seguido el debido procedimiento para suscribir el contrato. En tal sentido, cabe señalar que el plazo  para que el Postor Adjudicatario se apersone a suscribir el contrato a la Entidad, se computa a partir del día siguiente que toma conocimiento del documento que contiene la citación para que se apersone a suscribir el mismo. El artículo 148º del Reglamento es imperativo al considerar dicho plazo, el cual deber ser respetado por las Entidades, más aún, tratándose de un plazo que ha sido otorgado en beneficio de los administrados.</w:t>
      </w:r>
    </w:p>
    <w:p w:rsidR="00D968B1" w:rsidRPr="00C47852" w:rsidRDefault="00D968B1" w:rsidP="00D968B1">
      <w:pPr>
        <w:pStyle w:val="Prrafodelista"/>
        <w:rPr>
          <w:sz w:val="20"/>
          <w:szCs w:val="20"/>
        </w:rPr>
      </w:pPr>
    </w:p>
    <w:p w:rsidR="00D968B1" w:rsidRPr="00C47852" w:rsidRDefault="00C47852" w:rsidP="00D968B1">
      <w:pPr>
        <w:numPr>
          <w:ilvl w:val="1"/>
          <w:numId w:val="8"/>
        </w:numPr>
        <w:ind w:left="720"/>
        <w:jc w:val="both"/>
        <w:rPr>
          <w:rFonts w:ascii="Tahoma" w:hAnsi="Tahoma" w:cs="Tahoma"/>
          <w:lang w:val="es-ES_tradnl"/>
        </w:rPr>
      </w:pPr>
      <w:r>
        <w:rPr>
          <w:rFonts w:ascii="Tahoma" w:hAnsi="Tahoma" w:cs="Tahoma"/>
          <w:lang w:val="es-ES_tradnl"/>
        </w:rPr>
        <w:t xml:space="preserve"> </w:t>
      </w:r>
      <w:r w:rsidR="00D968B1" w:rsidRPr="00C47852">
        <w:rPr>
          <w:rFonts w:ascii="Tahoma" w:hAnsi="Tahoma" w:cs="Tahoma"/>
          <w:lang w:val="es-ES_tradnl"/>
        </w:rPr>
        <w:t>Los plazos mencionados precedentemente han sido previstos por la norma de la materia a favor del postor ganador de la buena pro, constituyendo un límite a la actuación de la Entidad, a fin que ésta no le otorgue plazos arbitrarios que le impidan recabar los documentos necesarios para la respectiva suscripción.</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ES_tradnl"/>
        </w:rPr>
        <w:t xml:space="preserve"> En el presente caso, la adjudicación de la Buena pro tuvo lugar el día jueves 28 de enero de 2010 y en la misma fecha se publicó en el SEACE. Al tratarse de un acto público, se entiende notificada el mismo día, y al haber participado dos empresas, se debe contabilizar los  ocho (08) días necesarios para que la buena pro quede consentida, plazo que vencía al  martes 09 de febrero de 2010</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ES_tradnl"/>
        </w:rPr>
        <w:t xml:space="preserve"> De la revisión a la documentación remitida por la Entidad, se puede constatar que la Entidad citó al Postor para la suscripción del contrato mediante Carta Nº 001-2010-ENAPU S.A./TCHI/CEP  el día 10 de febrero de 2010, es decir, dentro de los dos días </w:t>
      </w:r>
      <w:r w:rsidRPr="00C47852">
        <w:rPr>
          <w:rFonts w:ascii="Tahoma" w:hAnsi="Tahoma" w:cs="Tahoma"/>
          <w:lang w:val="es-ES_tradnl"/>
        </w:rPr>
        <w:lastRenderedPageBreak/>
        <w:t>hábiles posteriores al consentimiento de la buena pro, habiendo cumplido de esa manera con el procedimiento necesario para la suscripción contractual.</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ES_tradnl"/>
        </w:rPr>
        <w:t xml:space="preserve"> Sin perjuicio de lo expuesto, este Colegiado ha podido advertir que la carta por la cual se le cita a suscribir el contrato, fue suscrito por el Presidente del Comité Especial, el cual conforme a las normas de contrataciones no es competente para formalizar el contrato.</w:t>
      </w:r>
    </w:p>
    <w:p w:rsidR="00D968B1" w:rsidRPr="00C47852" w:rsidRDefault="00D968B1" w:rsidP="00D968B1">
      <w:pPr>
        <w:tabs>
          <w:tab w:val="num" w:pos="1080"/>
        </w:tabs>
        <w:rPr>
          <w:rFonts w:ascii="Tahoma" w:hAnsi="Tahoma" w:cs="Tahoma"/>
          <w:lang w:val="es-ES_tradnl"/>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lang w:val="es-ES_tradnl"/>
        </w:rPr>
        <w:t xml:space="preserve"> </w:t>
      </w:r>
      <w:r w:rsidRPr="00C47852">
        <w:rPr>
          <w:rFonts w:ascii="Tahoma" w:hAnsi="Tahoma" w:cs="Tahoma"/>
        </w:rPr>
        <w:t xml:space="preserve">Asimismo, con la finalidad de verificar plenamente los hechos que motiven su decisión, en aplicación del </w:t>
      </w:r>
      <w:r w:rsidRPr="00C47852">
        <w:rPr>
          <w:rFonts w:ascii="Tahoma" w:hAnsi="Tahoma" w:cs="Tahoma"/>
          <w:i/>
          <w:iCs/>
        </w:rPr>
        <w:t>Principio de Impulso de Oficio y de Verdad Material</w:t>
      </w:r>
      <w:r w:rsidRPr="00C47852">
        <w:rPr>
          <w:rFonts w:ascii="Tahoma" w:hAnsi="Tahoma" w:cs="Tahoma"/>
        </w:rPr>
        <w:t xml:space="preserve"> contemplado en los numerales 1.3 y 1.11 del Artículo IV del Título Preliminar de la Ley 27444, este Colegiado solicitó a la Entidad contratante se sirva pronunciar si el Señor Demtrio Cadenillas Vergaray, se encuentra debidamente autorizado o es funcionario competente para ejecutar los actos destinados a la formalización del contrato; a cuyo efecto deberá remitir copia del poder en donde conste las facultades otorgadas.</w:t>
      </w:r>
    </w:p>
    <w:p w:rsidR="00D968B1" w:rsidRPr="00C47852" w:rsidRDefault="00D968B1" w:rsidP="00D968B1">
      <w:pPr>
        <w:tabs>
          <w:tab w:val="num" w:pos="1080"/>
        </w:tabs>
        <w:rPr>
          <w:rFonts w:ascii="Tahoma" w:hAnsi="Tahoma" w:cs="Tahoma"/>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rPr>
        <w:t>En atención a dicho requerimiento, la Entidad señaló que el Señor Demetrio Cadenillas Vergaray, tiene poder Clase A, que de acuerdo a la política de Asignación de Poderes (facultades 12 y 22) esta facultado para celebrar transacciones y cualquier otro contrato nominado o no, pudiendo a tal efecto convenir todo tipo de pactos y estipulaciones.</w:t>
      </w:r>
    </w:p>
    <w:p w:rsidR="00D968B1" w:rsidRPr="00C47852" w:rsidRDefault="00D968B1" w:rsidP="00D968B1">
      <w:pPr>
        <w:tabs>
          <w:tab w:val="num" w:pos="1080"/>
        </w:tabs>
        <w:rPr>
          <w:rFonts w:ascii="Tahoma" w:hAnsi="Tahoma" w:cs="Tahoma"/>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rPr>
        <w:t>Con relación a este punto, el artículo 77 del Reglamento de la Ley de Contrataciones del Estado, establece que una vez consentido el otorgamiento de la buena pro, el Comité Especial remitirá el expediente de contratación a la Entidad, la que asumirá la competencia desde ese momento para ejecutar los actos destinados a la formalización del contrato.</w:t>
      </w:r>
    </w:p>
    <w:p w:rsidR="00D968B1" w:rsidRPr="00C47852" w:rsidRDefault="00D968B1" w:rsidP="00D968B1">
      <w:pPr>
        <w:tabs>
          <w:tab w:val="num" w:pos="1080"/>
        </w:tabs>
        <w:rPr>
          <w:rFonts w:ascii="Tahoma" w:hAnsi="Tahoma" w:cs="Tahoma"/>
          <w:lang w:val="es-ES_tradnl"/>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ES_tradnl"/>
        </w:rPr>
        <w:t>Asimismo, el artículo 14 de la Ley de Procedimiento Administrativo General, Ley 27444, establece que cuando el vicio del acto administrativo por el incumplimiento a sus elementos de validez, puede conservarse cuando se concluya de cualquier otro modo que el acto administrativo hubiese tenido el mismo contenido, de no haberse producido el vicio.</w:t>
      </w:r>
    </w:p>
    <w:p w:rsidR="00D968B1" w:rsidRPr="00C47852" w:rsidRDefault="00D968B1" w:rsidP="00D968B1">
      <w:pPr>
        <w:tabs>
          <w:tab w:val="num" w:pos="1080"/>
        </w:tabs>
        <w:rPr>
          <w:rFonts w:ascii="Tahoma" w:hAnsi="Tahoma" w:cs="Tahoma"/>
          <w:lang w:val="es-ES_tradnl"/>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ES_tradnl"/>
        </w:rPr>
        <w:t>En ese sentido, se observa que la carta que cita al Postor a la suscripción del contrato fue suscrita por el Presidente del Comité Especial, el mismo que ocupa el cargo de Asistente de Gerencia de Administración de la Entidad, que conforme a lo manifestado por la Entidad y según su estructura de poderes ( véase Escritura Pública del 15/04/2005 otorgada ante Notario del Callao Dr. Federico Campos Echeandia y Acta de Sesión de Directorio Nº 12-97 realizada el 12 de julio de 1997) es el encargado de ejecutar los actos destinados a la formalización de contrato.</w:t>
      </w:r>
    </w:p>
    <w:p w:rsidR="00D968B1" w:rsidRPr="00C47852" w:rsidRDefault="00D968B1" w:rsidP="00D968B1">
      <w:pPr>
        <w:tabs>
          <w:tab w:val="num" w:pos="1080"/>
        </w:tabs>
        <w:rPr>
          <w:rFonts w:ascii="Tahoma" w:hAnsi="Tahoma" w:cs="Tahoma"/>
          <w:lang w:val="es-ES_tradnl"/>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ES_tradnl"/>
        </w:rPr>
        <w:t>Asimismo, de la mencionada carta se aprecia que la misma fue recibida por el Postor, sin efectuar ninguna observación, por lo que dicho acto fue convalidado por éste, conforme a lo establecido en el artículo 27.1 de la Ley de Procedimiento Administrativo General, en el presente caso, ha quedado demostrado que quien suscribe tenía la facultad para citar al Postor a la suscripción de contrato, y que el error de suscribir como Presidente del Comité Especial es subsanable y no varia el contenido, por lo que este Colegiado concluye que el Postor fue correctamente citado a la suscripción del contrato.</w:t>
      </w:r>
    </w:p>
    <w:p w:rsidR="00D968B1" w:rsidRPr="00C47852" w:rsidRDefault="00D968B1" w:rsidP="00D968B1">
      <w:pPr>
        <w:tabs>
          <w:tab w:val="num" w:pos="1080"/>
        </w:tabs>
        <w:rPr>
          <w:rFonts w:ascii="Tahoma" w:hAnsi="Tahoma" w:cs="Tahoma"/>
          <w:lang w:val="es-ES_tradnl"/>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lang w:val="es-PE"/>
        </w:rPr>
        <w:t xml:space="preserve"> En ese sentido, se ha podido confirmar que la Entidad cumplió el procedimiento de citación previsto en la norma antes citada, por lo que corresponde verificar si la omisión de tal suscripción se debió o no a causa imputable al Postor o si la misma resultó justificada (análisis sustancial).</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lang w:val="es-ES_tradnl"/>
        </w:rPr>
      </w:pPr>
      <w:r w:rsidRPr="00C47852">
        <w:rPr>
          <w:rFonts w:ascii="Tahoma" w:hAnsi="Tahoma" w:cs="Tahoma"/>
        </w:rPr>
        <w:t xml:space="preserve">Al respecto, se observa que la Entidad citó al Postor el </w:t>
      </w:r>
      <w:r w:rsidRPr="00C47852">
        <w:rPr>
          <w:rFonts w:ascii="Tahoma" w:hAnsi="Tahoma" w:cs="Tahoma"/>
          <w:lang w:val="es-ES_tradnl"/>
        </w:rPr>
        <w:t>10 de febrero de 2010</w:t>
      </w:r>
      <w:r w:rsidRPr="00C47852">
        <w:rPr>
          <w:rFonts w:ascii="Tahoma" w:hAnsi="Tahoma" w:cs="Tahoma"/>
        </w:rPr>
        <w:t xml:space="preserve"> y, le indicó que  el plazo para la suscripción del contrato vencía el 24 de febrero de 2010, es decir, le otorgó diez (10) días hábiles para tales fines. En la referida fecha el postor se apersonó a la Entidad con la documentación requerida, sin embargo, entre los documentos presentados, adjuntó una </w:t>
      </w:r>
      <w:r w:rsidRPr="00C47852">
        <w:rPr>
          <w:rFonts w:ascii="Tahoma" w:hAnsi="Tahoma" w:cs="Tahoma"/>
          <w:b/>
          <w:bCs/>
          <w:i/>
          <w:iCs/>
        </w:rPr>
        <w:t>Cobertura Provisional de fecha 24 de febrero de 2010, emitida por la empresa de Seguros y Reaseguros La Positiva, con Código de Registro Nº 0125</w:t>
      </w:r>
      <w:r w:rsidRPr="00C47852">
        <w:rPr>
          <w:rFonts w:ascii="Tahoma" w:hAnsi="Tahoma" w:cs="Tahoma"/>
        </w:rPr>
        <w:t xml:space="preserve">, mediante la cual, se aseguró por cuatro días las coberturas de sus trabajadores. Dicho documento, tenía como finalidad suplir la </w:t>
      </w:r>
      <w:r w:rsidRPr="00C47852">
        <w:rPr>
          <w:rFonts w:ascii="Tahoma" w:hAnsi="Tahoma" w:cs="Tahoma"/>
          <w:b/>
          <w:bCs/>
          <w:i/>
          <w:iCs/>
        </w:rPr>
        <w:t>Póliza de Seguro Complementario de Trabajo de Riesgo en Salud y Pensión</w:t>
      </w:r>
      <w:r w:rsidRPr="00C47852">
        <w:rPr>
          <w:rFonts w:ascii="Tahoma" w:hAnsi="Tahoma" w:cs="Tahoma"/>
        </w:rPr>
        <w:t>, requisito necesario para la suscripción del Contrato y que no fue presentada por el Postor.</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lang w:val="es-PE"/>
        </w:rPr>
        <w:t xml:space="preserve">Sobre el particular,  debemos indicar que una vez la buena pro ha quedado consentida o administrativamente firme los postores ganadores </w:t>
      </w:r>
      <w:r w:rsidRPr="00C47852">
        <w:rPr>
          <w:rFonts w:ascii="Tahoma" w:hAnsi="Tahoma" w:cs="Tahoma"/>
          <w:b/>
          <w:bCs/>
          <w:u w:val="single"/>
          <w:lang w:val="es-PE"/>
        </w:rPr>
        <w:t>están obligados</w:t>
      </w:r>
      <w:r w:rsidRPr="00C47852">
        <w:rPr>
          <w:rFonts w:ascii="Tahoma" w:hAnsi="Tahoma" w:cs="Tahoma"/>
          <w:lang w:val="es-PE"/>
        </w:rPr>
        <w:t xml:space="preserve"> a suscribir el contrato respectivo. E</w:t>
      </w:r>
      <w:r w:rsidRPr="00C47852">
        <w:rPr>
          <w:rFonts w:ascii="Tahoma" w:hAnsi="Tahoma" w:cs="Tahoma"/>
        </w:rPr>
        <w:t xml:space="preserve">n caso que el postor ganador de la buena pro se niegue a suscribir dicho documento, será pasible de sanción, salvo imposibilidad física o jurídica </w:t>
      </w:r>
      <w:r w:rsidRPr="00C47852">
        <w:rPr>
          <w:rFonts w:ascii="Tahoma" w:hAnsi="Tahoma" w:cs="Tahoma"/>
          <w:b/>
          <w:bCs/>
          <w:u w:val="single"/>
        </w:rPr>
        <w:t>sobrevenida</w:t>
      </w:r>
      <w:r w:rsidRPr="00C47852">
        <w:rPr>
          <w:rFonts w:ascii="Tahoma" w:hAnsi="Tahoma" w:cs="Tahoma"/>
        </w:rPr>
        <w:t xml:space="preserve"> al otorgamiento de la buena pro que </w:t>
      </w:r>
      <w:r w:rsidRPr="00C47852">
        <w:rPr>
          <w:rFonts w:ascii="Tahoma" w:hAnsi="Tahoma" w:cs="Tahoma"/>
          <w:b/>
          <w:bCs/>
          <w:u w:val="single"/>
        </w:rPr>
        <w:t>no le sea atribuible</w:t>
      </w:r>
      <w:r w:rsidRPr="00C47852">
        <w:rPr>
          <w:rFonts w:ascii="Tahoma" w:hAnsi="Tahoma" w:cs="Tahoma"/>
        </w:rPr>
        <w:t>.</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lang w:val="es-PE"/>
        </w:rPr>
        <w:t>En función a ello, debe precisarse que sólo se podría eximir de responsabilidades al postor si las circunstancias que le imposibilitan cumplir con su obligación son ajenas a su  voluntad, hechos que deben surgir mientras se encuentre vigente la obligación de suscribir el contrato, y que por dichos eventos irresistibles no se cumpla con la Entidad.</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lang w:val="es-ES_tradnl"/>
        </w:rPr>
        <w:t>En ejercicio de su derecho de defensa</w:t>
      </w:r>
      <w:r w:rsidRPr="00C47852">
        <w:rPr>
          <w:rFonts w:ascii="Tahoma" w:hAnsi="Tahoma" w:cs="Tahoma"/>
        </w:rPr>
        <w:t>, el Postor ha manifestado que mediante Carta Nº 050-2010-ELITE se solicitó a la empresa Seguros y Reaseguros la Positiva, la emisión de las Pólizas de Seguro Complementario de Trabajo de Riesgo en Salud y Pensión, por el periodo de un año, y en virtud a ello, la referida empresa aseguradora emitió la Cobertura Provisional de Seguro Complementario de Trabajo de Riesgo – STR, documento que fue presentado ante la Entidad para la firma de contrato el 24 de febrero de 2010</w:t>
      </w:r>
    </w:p>
    <w:p w:rsidR="00D968B1" w:rsidRPr="00C47852" w:rsidRDefault="00D968B1" w:rsidP="00D968B1">
      <w:pPr>
        <w:tabs>
          <w:tab w:val="num" w:pos="1080"/>
        </w:tabs>
        <w:rPr>
          <w:rFonts w:ascii="Tahoma" w:hAnsi="Tahoma" w:cs="Tahoma"/>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 xml:space="preserve">A su turno, la Entidad ha señalado que a través de la Carta Notarial Nº099-2010 ENAPU S.A de fecha 25 de febrero de 2010, se le comunica al Postor que se esta procediendo a la devolución de todos sus documentos, por no haber cumplido con los requisitos exigidos para la firma de contrato </w:t>
      </w:r>
      <w:proofErr w:type="gramStart"/>
      <w:r w:rsidRPr="00C47852">
        <w:rPr>
          <w:rFonts w:ascii="Tahoma" w:hAnsi="Tahoma" w:cs="Tahoma"/>
        </w:rPr>
        <w:t>( numeral</w:t>
      </w:r>
      <w:proofErr w:type="gramEnd"/>
      <w:r w:rsidRPr="00C47852">
        <w:rPr>
          <w:rFonts w:ascii="Tahoma" w:hAnsi="Tahoma" w:cs="Tahoma"/>
        </w:rPr>
        <w:t xml:space="preserve"> 2.6 inciso i) de las Bases) y, en consecuencia ha perdido la Buena Pro.</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lang w:val="es-ES_tradnl"/>
        </w:rPr>
        <w:t xml:space="preserve"> En este punto, resulta pertinente señalar que, el numeral 2.5 de las Bases del proceso de selección, requerían que la propuesta técnica del Postor adjunte una Declaración Jurada en la cual manifieste, entre otros aspectos, </w:t>
      </w:r>
      <w:r w:rsidRPr="00C47852">
        <w:rPr>
          <w:rFonts w:ascii="Tahoma" w:hAnsi="Tahoma" w:cs="Tahoma"/>
          <w:u w:val="single"/>
          <w:lang w:val="es-ES_tradnl"/>
        </w:rPr>
        <w:t xml:space="preserve">que conoce y acepta y se somete a las Bases, condiciones y procedimientos </w:t>
      </w:r>
      <w:proofErr w:type="gramStart"/>
      <w:r w:rsidRPr="00C47852">
        <w:rPr>
          <w:rFonts w:ascii="Tahoma" w:hAnsi="Tahoma" w:cs="Tahoma"/>
          <w:u w:val="single"/>
          <w:lang w:val="es-ES_tradnl"/>
        </w:rPr>
        <w:t>del procesos</w:t>
      </w:r>
      <w:proofErr w:type="gramEnd"/>
      <w:r w:rsidRPr="00C47852">
        <w:rPr>
          <w:rFonts w:ascii="Tahoma" w:hAnsi="Tahoma" w:cs="Tahoma"/>
          <w:u w:val="single"/>
          <w:lang w:val="es-ES_tradnl"/>
        </w:rPr>
        <w:t xml:space="preserve"> de selección</w:t>
      </w:r>
      <w:r w:rsidRPr="00C47852">
        <w:rPr>
          <w:rFonts w:ascii="Tahoma" w:hAnsi="Tahoma" w:cs="Tahoma"/>
          <w:lang w:val="es-ES_tradnl"/>
        </w:rPr>
        <w:t xml:space="preserve"> y que conoce las sanciones.</w:t>
      </w:r>
    </w:p>
    <w:p w:rsidR="00D968B1" w:rsidRPr="00C47852" w:rsidRDefault="00D968B1" w:rsidP="00D968B1">
      <w:pPr>
        <w:tabs>
          <w:tab w:val="num" w:pos="1080"/>
        </w:tabs>
        <w:rPr>
          <w:rFonts w:ascii="Tahoma" w:hAnsi="Tahoma" w:cs="Tahoma"/>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Así, a Folios 438 del expediente administrativo la empresa Seguridad &amp; Protección Elite S.R.L. presentó en su propuesta técnica de fecha 26 de enero de 2010, una Declaración Jurada, señalando que conoce, acepta y se somete a las Bases, condiciones y procedimientos del proceso de selección.</w:t>
      </w:r>
    </w:p>
    <w:p w:rsidR="00D968B1" w:rsidRPr="00C47852" w:rsidRDefault="00D968B1" w:rsidP="00D968B1">
      <w:pPr>
        <w:tabs>
          <w:tab w:val="num" w:pos="1080"/>
        </w:tabs>
        <w:rPr>
          <w:rFonts w:ascii="Tahoma" w:hAnsi="Tahoma" w:cs="Tahoma"/>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El numeral 2.6 de las Bases del proceso de selección, referido a los requisitos para la suscripción del contrato, establecía que el Postor a efectos de suscribir el contrato, debía adjuntar entre otros, la siguiente documentación:</w:t>
      </w:r>
    </w:p>
    <w:p w:rsidR="00D968B1" w:rsidRPr="00C47852" w:rsidRDefault="00D968B1" w:rsidP="00D968B1">
      <w:pPr>
        <w:tabs>
          <w:tab w:val="num" w:pos="1080"/>
        </w:tabs>
        <w:rPr>
          <w:rFonts w:ascii="Tahoma" w:hAnsi="Tahoma" w:cs="Tahoma"/>
        </w:rPr>
      </w:pPr>
    </w:p>
    <w:p w:rsidR="00D968B1" w:rsidRPr="00C47852" w:rsidRDefault="00D968B1" w:rsidP="00D968B1">
      <w:pPr>
        <w:numPr>
          <w:ilvl w:val="3"/>
          <w:numId w:val="9"/>
        </w:numPr>
        <w:tabs>
          <w:tab w:val="clear" w:pos="2880"/>
          <w:tab w:val="left" w:pos="993"/>
          <w:tab w:val="num" w:pos="1418"/>
        </w:tabs>
        <w:ind w:hanging="1887"/>
        <w:jc w:val="both"/>
        <w:rPr>
          <w:rFonts w:ascii="Tahoma" w:hAnsi="Tahoma" w:cs="Tahoma"/>
        </w:rPr>
      </w:pPr>
      <w:r w:rsidRPr="00C47852">
        <w:rPr>
          <w:rFonts w:ascii="Tahoma" w:hAnsi="Tahoma" w:cs="Tahoma"/>
        </w:rPr>
        <w:lastRenderedPageBreak/>
        <w:t>Copia de DNI del Representante Legal;</w:t>
      </w:r>
    </w:p>
    <w:p w:rsidR="00D968B1" w:rsidRPr="00C47852" w:rsidRDefault="00D968B1" w:rsidP="00D968B1">
      <w:pPr>
        <w:numPr>
          <w:ilvl w:val="3"/>
          <w:numId w:val="9"/>
        </w:numPr>
        <w:tabs>
          <w:tab w:val="clear" w:pos="2880"/>
          <w:tab w:val="left" w:pos="993"/>
          <w:tab w:val="num" w:pos="1418"/>
        </w:tabs>
        <w:ind w:hanging="1887"/>
        <w:jc w:val="both"/>
        <w:rPr>
          <w:rFonts w:ascii="Tahoma" w:hAnsi="Tahoma" w:cs="Tahoma"/>
        </w:rPr>
      </w:pPr>
      <w:r w:rsidRPr="00C47852">
        <w:rPr>
          <w:rFonts w:ascii="Tahoma" w:hAnsi="Tahoma" w:cs="Tahoma"/>
        </w:rPr>
        <w:t>Copia de la vigencia del poder del representante legal de la empresa;</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rPr>
      </w:pPr>
      <w:r w:rsidRPr="00C47852">
        <w:rPr>
          <w:rFonts w:ascii="Tahoma" w:hAnsi="Tahoma" w:cs="Tahoma"/>
        </w:rPr>
        <w:t>Copia de la constitución de la empresa y sus modificatorias debidamente actualizado;</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rPr>
      </w:pPr>
      <w:r w:rsidRPr="00C47852">
        <w:rPr>
          <w:rFonts w:ascii="Tahoma" w:hAnsi="Tahoma" w:cs="Tahoma"/>
        </w:rPr>
        <w:t>Copia del RUC de la empresa;</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rPr>
      </w:pPr>
      <w:r w:rsidRPr="00C47852">
        <w:rPr>
          <w:rFonts w:ascii="Tahoma" w:hAnsi="Tahoma" w:cs="Tahoma"/>
        </w:rPr>
        <w:t>Código de Cuenta Interbancario (CCI), de corresponder.</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rPr>
      </w:pPr>
      <w:r w:rsidRPr="00C47852">
        <w:rPr>
          <w:rFonts w:ascii="Tahoma" w:hAnsi="Tahoma" w:cs="Tahoma"/>
        </w:rPr>
        <w:t>Constancia vigente de no estar inhabilitado para contratar con el Estado</w:t>
      </w:r>
    </w:p>
    <w:p w:rsidR="00D968B1" w:rsidRPr="00C47852" w:rsidRDefault="00D968B1" w:rsidP="00D968B1">
      <w:pPr>
        <w:tabs>
          <w:tab w:val="left" w:pos="993"/>
        </w:tabs>
        <w:ind w:left="1418"/>
        <w:rPr>
          <w:rFonts w:ascii="Tahoma" w:hAnsi="Tahoma" w:cs="Tahoma"/>
        </w:rPr>
      </w:pPr>
      <w:r w:rsidRPr="00C47852">
        <w:rPr>
          <w:rFonts w:ascii="Tahoma" w:hAnsi="Tahoma" w:cs="Tahoma"/>
        </w:rPr>
        <w:t>Emitido por el OSCE.</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rPr>
      </w:pPr>
      <w:r w:rsidRPr="00C47852">
        <w:rPr>
          <w:rFonts w:ascii="Tahoma" w:hAnsi="Tahoma" w:cs="Tahoma"/>
        </w:rPr>
        <w:t xml:space="preserve">Contrato de consorcio con firmas legalizadas de los asociados, de ser el caso.  </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rPr>
      </w:pPr>
      <w:r w:rsidRPr="00C47852">
        <w:rPr>
          <w:rFonts w:ascii="Tahoma" w:hAnsi="Tahoma" w:cs="Tahoma"/>
        </w:rPr>
        <w:t>Pólizas de Seguros conforme se requiere en el Numeral V de los Términos de</w:t>
      </w:r>
    </w:p>
    <w:p w:rsidR="00D968B1" w:rsidRPr="00C47852" w:rsidRDefault="00D968B1" w:rsidP="00D968B1">
      <w:pPr>
        <w:tabs>
          <w:tab w:val="left" w:pos="993"/>
        </w:tabs>
        <w:ind w:left="1418"/>
        <w:rPr>
          <w:rFonts w:ascii="Tahoma" w:hAnsi="Tahoma" w:cs="Tahoma"/>
        </w:rPr>
      </w:pPr>
      <w:r w:rsidRPr="00C47852">
        <w:rPr>
          <w:rFonts w:ascii="Tahoma" w:hAnsi="Tahoma" w:cs="Tahoma"/>
        </w:rPr>
        <w:t>Referencia.</w:t>
      </w:r>
    </w:p>
    <w:p w:rsidR="00D968B1" w:rsidRPr="00C47852" w:rsidRDefault="00D968B1" w:rsidP="00D968B1">
      <w:pPr>
        <w:numPr>
          <w:ilvl w:val="3"/>
          <w:numId w:val="9"/>
        </w:numPr>
        <w:tabs>
          <w:tab w:val="clear" w:pos="2880"/>
          <w:tab w:val="left" w:pos="993"/>
          <w:tab w:val="num" w:pos="1418"/>
        </w:tabs>
        <w:ind w:left="1418" w:hanging="425"/>
        <w:jc w:val="both"/>
        <w:rPr>
          <w:rFonts w:ascii="Tahoma" w:hAnsi="Tahoma" w:cs="Tahoma"/>
          <w:b/>
          <w:bCs/>
        </w:rPr>
      </w:pPr>
      <w:r w:rsidRPr="00C47852">
        <w:rPr>
          <w:rFonts w:ascii="Tahoma" w:hAnsi="Tahoma" w:cs="Tahoma"/>
          <w:b/>
          <w:bCs/>
        </w:rPr>
        <w:t>Copia del seguro Complementario de Trabajo de Riesgo en salud y Pensión</w:t>
      </w:r>
    </w:p>
    <w:p w:rsidR="00D968B1" w:rsidRPr="00C47852" w:rsidRDefault="00D968B1" w:rsidP="00D968B1">
      <w:pPr>
        <w:numPr>
          <w:ilvl w:val="3"/>
          <w:numId w:val="9"/>
        </w:numPr>
        <w:tabs>
          <w:tab w:val="clear" w:pos="2880"/>
          <w:tab w:val="left" w:pos="993"/>
          <w:tab w:val="num" w:pos="1418"/>
        </w:tabs>
        <w:ind w:hanging="1887"/>
        <w:jc w:val="both"/>
        <w:rPr>
          <w:rFonts w:ascii="Tahoma" w:hAnsi="Tahoma" w:cs="Tahoma"/>
        </w:rPr>
      </w:pPr>
      <w:r w:rsidRPr="00C47852">
        <w:rPr>
          <w:rFonts w:ascii="Tahoma" w:hAnsi="Tahoma" w:cs="Tahoma"/>
        </w:rPr>
        <w:t>Estructura de Costos según anexo N° 8</w:t>
      </w:r>
    </w:p>
    <w:p w:rsidR="00D968B1" w:rsidRPr="00C47852" w:rsidRDefault="00D968B1" w:rsidP="00D968B1">
      <w:pPr>
        <w:tabs>
          <w:tab w:val="num" w:pos="1080"/>
        </w:tabs>
        <w:ind w:left="720"/>
        <w:rPr>
          <w:rFonts w:ascii="Tahoma" w:hAnsi="Tahoma" w:cs="Tahoma"/>
        </w:rPr>
      </w:pPr>
    </w:p>
    <w:p w:rsidR="00D968B1" w:rsidRPr="00C47852" w:rsidRDefault="00D968B1" w:rsidP="00D968B1">
      <w:pPr>
        <w:tabs>
          <w:tab w:val="num" w:pos="1080"/>
        </w:tabs>
        <w:ind w:left="720"/>
        <w:rPr>
          <w:rFonts w:ascii="Tahoma" w:hAnsi="Tahoma" w:cs="Tahoma"/>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 xml:space="preserve">Como se puede evidenciar, el Postor como parte de la documentación para la suscripción del contrato debía presentar a la Entidad - Copia del Seguro Complementario de Trabajo de Riego en Salud y Pensión - hecho que no cumplió dentro del plazo otorgado, </w:t>
      </w:r>
      <w:r w:rsidRPr="00C47852">
        <w:rPr>
          <w:rFonts w:ascii="Tahoma" w:hAnsi="Tahoma" w:cs="Tahoma"/>
          <w:b/>
          <w:bCs/>
        </w:rPr>
        <w:t xml:space="preserve">conforme lo ha ratificado en sus descargos, aduciendo que este acto fue involuntario, toda vez que se tenía una cobertura provisional emitida por la CIA de Seguro POSITIVA , mientras duraba la tramitación de la Póliza, la cual iba ser entregada al día siguiente (sic). </w:t>
      </w:r>
      <w:r w:rsidRPr="00C47852">
        <w:rPr>
          <w:rFonts w:ascii="Tahoma" w:hAnsi="Tahoma" w:cs="Tahoma"/>
        </w:rPr>
        <w:t xml:space="preserve">En ese orden de ideas, este Colegiado ha corroborado de manera objetiva y de la propia declaración unilateral del Postor el incumplimiento </w:t>
      </w:r>
      <w:r w:rsidRPr="00C47852">
        <w:rPr>
          <w:rFonts w:ascii="Tahoma" w:hAnsi="Tahoma" w:cs="Tahoma"/>
          <w:lang w:val="es-ES_tradnl"/>
        </w:rPr>
        <w:t>en presentar la totalidad de la documentación exigida.</w:t>
      </w:r>
    </w:p>
    <w:p w:rsidR="00D968B1" w:rsidRPr="00C47852" w:rsidRDefault="00D968B1" w:rsidP="00D968B1">
      <w:pPr>
        <w:tabs>
          <w:tab w:val="num" w:pos="1080"/>
        </w:tabs>
        <w:ind w:left="720"/>
        <w:rPr>
          <w:rFonts w:ascii="Tahoma" w:hAnsi="Tahoma" w:cs="Tahoma"/>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Adicionalmente, en opinión de este Colegiado se advierte que el Postor no actuó con la diligencia debida, puesto que la citación para la firma del contrato se realizó el 10 de febrero de 2010, venciendo  el plazo otorgado el 24 del mismo mes, fecha en la cual (el último día), el postor solicitó la póliza de Seguro Complementario, lo que denota la poca cautela al momento de  obtener la información requerida por la Entidad.</w:t>
      </w:r>
    </w:p>
    <w:p w:rsidR="00D968B1" w:rsidRPr="00C47852" w:rsidRDefault="00D968B1" w:rsidP="00D968B1">
      <w:pPr>
        <w:tabs>
          <w:tab w:val="num" w:pos="1080"/>
        </w:tabs>
        <w:ind w:left="720"/>
        <w:rPr>
          <w:rFonts w:ascii="Tahoma" w:hAnsi="Tahoma" w:cs="Tahoma"/>
        </w:rPr>
      </w:pPr>
      <w:r w:rsidRPr="00C47852">
        <w:rPr>
          <w:rFonts w:ascii="Tahoma" w:hAnsi="Tahoma" w:cs="Tahoma"/>
        </w:rPr>
        <w:t xml:space="preserve"> </w:t>
      </w: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Debe precisarse que la citación para la firma del contrato es un acto único e impostergable, y para dicho efecto, el postor debe presentar la documentación completa, pues a este le asiste la responsabilidad de proporcionar la documentación requerida a fin que en el menor plazo previsto se cumpla con perfeccionar el vínculo contractual.</w:t>
      </w:r>
    </w:p>
    <w:p w:rsidR="00D968B1" w:rsidRPr="00C47852" w:rsidRDefault="00D968B1" w:rsidP="00D968B1">
      <w:pPr>
        <w:pStyle w:val="Prrafodelista"/>
        <w:rPr>
          <w:sz w:val="20"/>
          <w:szCs w:val="20"/>
        </w:rPr>
      </w:pPr>
    </w:p>
    <w:p w:rsidR="00D968B1" w:rsidRPr="00C47852" w:rsidRDefault="00D968B1" w:rsidP="00D968B1">
      <w:pPr>
        <w:ind w:left="720"/>
        <w:rPr>
          <w:rFonts w:ascii="Tahoma" w:hAnsi="Tahoma" w:cs="Tahoma"/>
        </w:rPr>
      </w:pPr>
      <w:r w:rsidRPr="00C47852">
        <w:rPr>
          <w:rFonts w:ascii="Tahoma" w:hAnsi="Tahoma" w:cs="Tahoma"/>
        </w:rPr>
        <w:t>Si el Postor no cumple con presentarse dentro del plazo otorgado con la documentación necesaria, perderá automáticamente la buena pro, sin perjuicio de la sanción administrativa aplicable.</w:t>
      </w:r>
    </w:p>
    <w:p w:rsidR="00D968B1" w:rsidRPr="00C47852" w:rsidRDefault="00D968B1" w:rsidP="00D968B1">
      <w:pPr>
        <w:pStyle w:val="Prrafodelista"/>
        <w:rPr>
          <w:sz w:val="20"/>
          <w:szCs w:val="20"/>
          <w:lang w:val="es-ES"/>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Por otro lado, el Postor señala que no se habría cumplido con los plazos señalados en la norma para la suscripción del contrato.</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Al respecto, debe precisarse al postor que en los numerales 6 y 7 de la presente fundamentación, se ha evaluado los plazos exigidos por la normativa de contrataciones para la suscripción del contrato, evidenciándose que la Entidad ha dado estricto cumplimiento al consentimiento de la buena pro, y al tiempo necesario para que el postor remita la documentación exigida, por lo que el cuestionamiento realizado como descargo carece de fundamento.</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lastRenderedPageBreak/>
        <w:t>Por tal motivo, no resultan válidos los argumentos presentados por el Postor que lo eximan de responsabilidad para la firma del contrato, pues no se configuran como hechos de caso fortuito o fuerza mayor, imprevisible e irresistible.</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lang w:val="es-PE"/>
        </w:rPr>
        <w:t xml:space="preserve">A consecuencia de lo expuesto, y siendo que El Postor no </w:t>
      </w:r>
      <w:r w:rsidRPr="00C47852">
        <w:rPr>
          <w:rFonts w:ascii="Tahoma" w:hAnsi="Tahoma" w:cs="Tahoma"/>
        </w:rPr>
        <w:t>ha logrado acreditar de manera objetiva y fehaciente que la omisión para suscribir el contrato adjudicado haya sido por causa justificada, toda vez que no obra en autos documento que sustente ningún supuesto alguno de imposibilidad física ni jurídica, este Colegiado considera que El Postor incurrió en la infracción imputada prevista en el literal a) del artículo 51.1 y 237º de la Ley y del Reglamento, la cual establece una sanción administrativa de inhabilitación al infractor, en su derecho para participar en procesos de selección y contratar con el Estado, por un período no menor de uno ni mayor a tres años.</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En cuanto a la graduación de la sanción imponible, este Colegiado tiene en cuenta que el artículo 245º del Reglamento</w:t>
      </w:r>
      <w:r w:rsidRPr="00C47852">
        <w:rPr>
          <w:rStyle w:val="Refdenotaalpie"/>
          <w:rFonts w:ascii="Tahoma" w:hAnsi="Tahoma" w:cs="Tahoma"/>
        </w:rPr>
        <w:footnoteReference w:id="4"/>
      </w:r>
      <w:r w:rsidRPr="00C47852">
        <w:rPr>
          <w:rFonts w:ascii="Tahoma" w:hAnsi="Tahoma" w:cs="Tahoma"/>
        </w:rPr>
        <w:t>, establece los criterios de graduación de la sanción, los mismos que deben ser tomados en cuenta al momento de fijar la sanción a imponerse al Postor, entre ellos tenemos la intencionalidad, reiterancia, daño causado, circunstancias y conducta procesal del infractor.</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En ese sentido, en primer lugar, debe considerarse que el Postor, no cuenta con antecedentes de haber sido restringido en su derecho de contratar con el Estado.</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En lo que respecta al daño causado a la Entidad, este Tribunal ha tenido en consideración que la no suscripción del Contrato respectivo retrasó el cumplimiento de los objetivos de La Entidad, los mismos que son programados con anticipación.</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rPr>
      </w:pPr>
      <w:r w:rsidRPr="00C47852">
        <w:rPr>
          <w:rFonts w:ascii="Tahoma" w:hAnsi="Tahoma" w:cs="Tahoma"/>
        </w:rPr>
        <w:t>Asimismo, es necesario indicar, respecto a la conducta procesal del Postor, que éste cumplió con presentar los descargos correspondientes dentro del plazo otorgado evitando ocasionar innecesariamente la dilación del proceso.</w:t>
      </w:r>
    </w:p>
    <w:p w:rsidR="00D968B1" w:rsidRPr="00C47852" w:rsidRDefault="00D968B1" w:rsidP="00D968B1">
      <w:pPr>
        <w:pStyle w:val="Prrafodelista"/>
        <w:rPr>
          <w:sz w:val="20"/>
          <w:szCs w:val="20"/>
        </w:rPr>
      </w:pPr>
    </w:p>
    <w:p w:rsidR="00D968B1" w:rsidRPr="00C47852" w:rsidRDefault="00D968B1" w:rsidP="00D968B1">
      <w:pPr>
        <w:numPr>
          <w:ilvl w:val="1"/>
          <w:numId w:val="8"/>
        </w:numPr>
        <w:ind w:left="720"/>
        <w:jc w:val="both"/>
        <w:rPr>
          <w:rFonts w:ascii="Tahoma" w:hAnsi="Tahoma" w:cs="Tahoma"/>
          <w:b/>
          <w:bCs/>
          <w:u w:val="single"/>
          <w:lang w:val="es-ES_tradnl"/>
        </w:rPr>
      </w:pPr>
      <w:r w:rsidRPr="00C47852">
        <w:rPr>
          <w:rFonts w:ascii="Tahoma" w:hAnsi="Tahoma" w:cs="Tahoma"/>
        </w:rPr>
        <w:t xml:space="preserve">En atención a lo expuesto, y en aplicación de lo prescrito por el </w:t>
      </w:r>
      <w:r w:rsidRPr="00C47852">
        <w:rPr>
          <w:rFonts w:ascii="Tahoma" w:hAnsi="Tahoma" w:cs="Tahoma"/>
          <w:i/>
          <w:iCs/>
        </w:rPr>
        <w:t>Principio de Razonabilidad</w:t>
      </w:r>
      <w:r w:rsidRPr="00C47852">
        <w:rPr>
          <w:rFonts w:ascii="Tahoma" w:hAnsi="Tahoma" w:cs="Tahoma"/>
          <w:vertAlign w:val="superscript"/>
        </w:rPr>
        <w:footnoteReference w:id="5"/>
      </w:r>
      <w:r w:rsidRPr="00C47852">
        <w:rPr>
          <w:rFonts w:ascii="Tahoma" w:hAnsi="Tahoma" w:cs="Tahoma"/>
        </w:rPr>
        <w:t xml:space="preserve"> previsto en el numeral 3 del artículo 230 de la Ley N.º 27444 aconseja que las sanciones no deben ser desproporcionadas y que deben guardar atención con la conducta a reprimir, atendiendo a la necesidad de que los postores no deban verse privados de su derecho de proveer al Estado más allá de lo estrictamente necesario para satisfacer los fines de la sanción; este Colegiado considera que debe imponerse al Postor </w:t>
      </w:r>
      <w:r w:rsidRPr="00C47852">
        <w:rPr>
          <w:rFonts w:ascii="Tahoma" w:hAnsi="Tahoma" w:cs="Tahoma"/>
          <w:lang w:val="es-PE"/>
        </w:rPr>
        <w:lastRenderedPageBreak/>
        <w:t xml:space="preserve">la sanción </w:t>
      </w:r>
      <w:r w:rsidRPr="00C47852">
        <w:rPr>
          <w:rFonts w:ascii="Tahoma" w:hAnsi="Tahoma" w:cs="Tahoma"/>
        </w:rPr>
        <w:t>de inhabilitación temporal</w:t>
      </w:r>
      <w:r w:rsidRPr="00C47852">
        <w:rPr>
          <w:rFonts w:ascii="Tahoma" w:hAnsi="Tahoma" w:cs="Tahoma"/>
          <w:b/>
          <w:bCs/>
        </w:rPr>
        <w:t xml:space="preserve"> </w:t>
      </w:r>
      <w:r w:rsidRPr="00C47852">
        <w:rPr>
          <w:rFonts w:ascii="Tahoma" w:hAnsi="Tahoma" w:cs="Tahoma"/>
        </w:rPr>
        <w:t>en su derecho de participar en procesos de selección y contratar con el Estado por el período de doce (12) meses</w:t>
      </w:r>
      <w:r w:rsidRPr="00C47852">
        <w:rPr>
          <w:rFonts w:ascii="Tahoma" w:hAnsi="Tahoma" w:cs="Tahoma"/>
          <w:b/>
          <w:bCs/>
        </w:rPr>
        <w:t>.</w:t>
      </w:r>
    </w:p>
    <w:p w:rsidR="00D968B1" w:rsidRPr="00C47852" w:rsidRDefault="00D968B1" w:rsidP="00D968B1">
      <w:pPr>
        <w:jc w:val="both"/>
        <w:rPr>
          <w:rFonts w:ascii="Tahoma" w:eastAsia="MS Mincho" w:hAnsi="Tahoma" w:cs="Tahoma"/>
          <w:b/>
          <w:lang w:val="es-ES_tradnl" w:eastAsia="en-US"/>
        </w:rPr>
      </w:pPr>
    </w:p>
    <w:p w:rsidR="00D968B1" w:rsidRPr="00C47852" w:rsidRDefault="00D968B1" w:rsidP="00D968B1">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C47852">
        <w:rPr>
          <w:rFonts w:ascii="Tahoma" w:eastAsia="Calibri" w:hAnsi="Tahoma" w:cs="Tahoma"/>
          <w:color w:val="000000"/>
        </w:rPr>
        <w:t>Por estos fundamentos, de conformidad con el informe del Vocal Ponente Dra. Janette Elke Ramírez Maynetto y la intervención de los Vocales Dra. Ada Basulto Liewald y Dr. Carlos Fonseca Oliveira, y atendiendo a la reconformación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968B1" w:rsidRPr="00C47852" w:rsidRDefault="00D968B1" w:rsidP="00D968B1">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D968B1" w:rsidRPr="00C47852" w:rsidRDefault="00D968B1" w:rsidP="00D968B1">
      <w:pPr>
        <w:jc w:val="both"/>
        <w:rPr>
          <w:rFonts w:ascii="Tahoma" w:hAnsi="Tahoma" w:cs="Tahoma"/>
          <w:b/>
          <w:shadow/>
        </w:rPr>
      </w:pPr>
      <w:r w:rsidRPr="00C47852">
        <w:rPr>
          <w:rFonts w:ascii="Tahoma" w:hAnsi="Tahoma" w:cs="Tahoma"/>
          <w:b/>
          <w:shadow/>
        </w:rPr>
        <w:t>LA SALA RESUELVE:</w:t>
      </w:r>
    </w:p>
    <w:p w:rsidR="00D968B1" w:rsidRPr="00C47852" w:rsidRDefault="00D968B1" w:rsidP="00D968B1">
      <w:pPr>
        <w:rPr>
          <w:rFonts w:ascii="Tahoma" w:hAnsi="Tahoma" w:cs="Tahoma"/>
          <w:b/>
          <w:bCs/>
          <w:shadow/>
        </w:rPr>
      </w:pPr>
    </w:p>
    <w:p w:rsidR="00D968B1" w:rsidRPr="00C47852" w:rsidRDefault="00D968B1" w:rsidP="00D968B1">
      <w:pPr>
        <w:numPr>
          <w:ilvl w:val="0"/>
          <w:numId w:val="10"/>
        </w:numPr>
        <w:tabs>
          <w:tab w:val="clear" w:pos="720"/>
          <w:tab w:val="num" w:pos="360"/>
        </w:tabs>
        <w:ind w:left="360"/>
        <w:jc w:val="both"/>
        <w:rPr>
          <w:rFonts w:ascii="Tahoma" w:hAnsi="Tahoma" w:cs="Tahoma"/>
        </w:rPr>
      </w:pPr>
      <w:r w:rsidRPr="00C47852">
        <w:rPr>
          <w:rFonts w:ascii="Tahoma" w:hAnsi="Tahoma" w:cs="Tahoma"/>
        </w:rPr>
        <w:t xml:space="preserve">Sancionar a la empresa Seguridad y Protección Elite S.R.LTDA con </w:t>
      </w:r>
      <w:r w:rsidRPr="00C47852">
        <w:rPr>
          <w:rFonts w:ascii="Tahoma" w:hAnsi="Tahoma" w:cs="Tahoma"/>
          <w:b/>
          <w:bCs/>
        </w:rPr>
        <w:t>doce</w:t>
      </w:r>
      <w:r w:rsidRPr="00C47852">
        <w:rPr>
          <w:rFonts w:ascii="Tahoma" w:hAnsi="Tahoma" w:cs="Tahoma"/>
        </w:rPr>
        <w:t xml:space="preserve"> </w:t>
      </w:r>
      <w:r w:rsidRPr="00C47852">
        <w:rPr>
          <w:rFonts w:ascii="Tahoma" w:hAnsi="Tahoma" w:cs="Tahoma"/>
          <w:b/>
          <w:bCs/>
        </w:rPr>
        <w:t xml:space="preserve">(12) meses de inhabilitación temporal </w:t>
      </w:r>
      <w:r w:rsidRPr="00C47852">
        <w:rPr>
          <w:rFonts w:ascii="Tahoma" w:hAnsi="Tahoma" w:cs="Tahoma"/>
        </w:rPr>
        <w:t xml:space="preserve">en su derecho de participar en procesos de selección y contratar con el Estado, por incurrir en la infracción tipificada en el numeral 51.1 literal a) del artículo 51 de la Ley de Contrataciones del Estado y en el numeral 1 literal a) del artículo 237 del Reglamento de la Ley, aprobado por Decreto Legislativo Nº 1017, y Decreto Supremo </w:t>
      </w:r>
      <w:r w:rsidRPr="00C47852">
        <w:rPr>
          <w:rFonts w:ascii="Tahoma" w:hAnsi="Tahoma" w:cs="Tahoma"/>
        </w:rPr>
        <w:br/>
        <w:t>N° 184-2008-EF; sanción que tendrá vigencia a partir del sexto día hábil siguiente de notificada la presente resolución.</w:t>
      </w:r>
    </w:p>
    <w:p w:rsidR="00D968B1" w:rsidRPr="00C47852" w:rsidRDefault="00D968B1" w:rsidP="00D968B1">
      <w:pPr>
        <w:ind w:left="360"/>
        <w:rPr>
          <w:rFonts w:ascii="Tahoma" w:hAnsi="Tahoma" w:cs="Tahoma"/>
        </w:rPr>
      </w:pPr>
    </w:p>
    <w:p w:rsidR="00D968B1" w:rsidRPr="00C47852" w:rsidRDefault="00D968B1" w:rsidP="00D968B1">
      <w:pPr>
        <w:numPr>
          <w:ilvl w:val="0"/>
          <w:numId w:val="10"/>
        </w:numPr>
        <w:tabs>
          <w:tab w:val="clear" w:pos="720"/>
          <w:tab w:val="num" w:pos="360"/>
        </w:tabs>
        <w:ind w:left="360"/>
        <w:jc w:val="both"/>
        <w:rPr>
          <w:rFonts w:ascii="Tahoma" w:hAnsi="Tahoma" w:cs="Tahoma"/>
        </w:rPr>
      </w:pPr>
      <w:r w:rsidRPr="00C47852">
        <w:rPr>
          <w:rFonts w:ascii="Tahoma" w:hAnsi="Tahoma" w:cs="Tahoma"/>
        </w:rPr>
        <w:t>Poner la presente resolución en conocimiento a la Sub Dirección de Registros del OSCE para las anotaciones de ley.</w:t>
      </w:r>
    </w:p>
    <w:p w:rsidR="00D968B1" w:rsidRPr="00C47852" w:rsidRDefault="00D968B1" w:rsidP="00D968B1">
      <w:pPr>
        <w:jc w:val="both"/>
        <w:rPr>
          <w:rFonts w:ascii="Tahoma" w:hAnsi="Tahoma" w:cs="Tahoma"/>
          <w:b/>
          <w:shadow/>
        </w:rPr>
      </w:pPr>
    </w:p>
    <w:p w:rsidR="00D968B1" w:rsidRPr="00C47852" w:rsidRDefault="00D968B1" w:rsidP="00D968B1">
      <w:pPr>
        <w:pStyle w:val="Textoindependiente21"/>
        <w:rPr>
          <w:rFonts w:cs="Tahoma"/>
          <w:sz w:val="20"/>
        </w:rPr>
      </w:pPr>
      <w:r w:rsidRPr="00C47852">
        <w:rPr>
          <w:rFonts w:cs="Tahoma"/>
          <w:sz w:val="20"/>
        </w:rPr>
        <w:t>Regístrese, comuníquese y publíquese.</w:t>
      </w:r>
    </w:p>
    <w:p w:rsidR="00D968B1" w:rsidRPr="00C47852" w:rsidRDefault="00D968B1" w:rsidP="00D968B1">
      <w:pPr>
        <w:jc w:val="center"/>
        <w:rPr>
          <w:rFonts w:ascii="Tahoma" w:hAnsi="Tahoma" w:cs="Tahoma"/>
          <w:b/>
          <w:shadow/>
          <w:lang w:val="pt-BR"/>
        </w:rPr>
      </w:pPr>
    </w:p>
    <w:p w:rsidR="00D968B1" w:rsidRPr="00C47852" w:rsidRDefault="00D968B1" w:rsidP="00D968B1">
      <w:pPr>
        <w:jc w:val="center"/>
        <w:rPr>
          <w:rFonts w:ascii="Tahoma" w:hAnsi="Tahoma" w:cs="Tahoma"/>
          <w:b/>
          <w:shadow/>
          <w:lang w:val="pt-BR"/>
        </w:rPr>
      </w:pPr>
    </w:p>
    <w:p w:rsidR="00D968B1" w:rsidRPr="00C47852" w:rsidRDefault="00D968B1" w:rsidP="00D968B1">
      <w:pPr>
        <w:jc w:val="center"/>
        <w:rPr>
          <w:rFonts w:ascii="Tahoma" w:hAnsi="Tahoma" w:cs="Tahoma"/>
          <w:b/>
          <w:shadow/>
          <w:lang w:val="pt-BR"/>
        </w:rPr>
      </w:pPr>
    </w:p>
    <w:p w:rsidR="00D968B1" w:rsidRPr="00C47852" w:rsidRDefault="00D968B1" w:rsidP="00D968B1">
      <w:pPr>
        <w:jc w:val="center"/>
        <w:rPr>
          <w:rFonts w:ascii="Tahoma" w:hAnsi="Tahoma" w:cs="Tahoma"/>
          <w:b/>
          <w:shadow/>
          <w:lang w:val="pt-BR"/>
        </w:rPr>
      </w:pPr>
    </w:p>
    <w:p w:rsidR="00D968B1" w:rsidRPr="00C47852" w:rsidRDefault="00D968B1" w:rsidP="00D968B1">
      <w:pPr>
        <w:jc w:val="center"/>
        <w:rPr>
          <w:rFonts w:ascii="Tahoma" w:hAnsi="Tahoma" w:cs="Tahoma"/>
          <w:b/>
          <w:shadow/>
          <w:lang w:val="pt-BR"/>
        </w:rPr>
      </w:pPr>
      <w:r w:rsidRPr="00C47852">
        <w:rPr>
          <w:rFonts w:ascii="Tahoma" w:hAnsi="Tahoma" w:cs="Tahoma"/>
          <w:b/>
          <w:shadow/>
          <w:lang w:val="pt-BR"/>
        </w:rPr>
        <w:t>PRESIDENTA</w:t>
      </w:r>
    </w:p>
    <w:p w:rsidR="00D968B1" w:rsidRPr="00C47852" w:rsidRDefault="00D968B1" w:rsidP="00D968B1">
      <w:pPr>
        <w:jc w:val="both"/>
        <w:rPr>
          <w:rFonts w:ascii="Tahoma" w:hAnsi="Tahoma" w:cs="Tahoma"/>
          <w:b/>
          <w:shadow/>
          <w:lang w:val="pt-BR"/>
        </w:rPr>
      </w:pPr>
    </w:p>
    <w:p w:rsidR="00D968B1" w:rsidRPr="00C47852" w:rsidRDefault="00D968B1" w:rsidP="00D968B1">
      <w:pPr>
        <w:jc w:val="both"/>
        <w:rPr>
          <w:rFonts w:ascii="Tahoma" w:hAnsi="Tahoma" w:cs="Tahoma"/>
          <w:b/>
          <w:shadow/>
          <w:lang w:val="pt-BR"/>
        </w:rPr>
      </w:pPr>
    </w:p>
    <w:p w:rsidR="00D968B1" w:rsidRPr="00C47852" w:rsidRDefault="00D968B1" w:rsidP="00D968B1">
      <w:pPr>
        <w:jc w:val="both"/>
        <w:rPr>
          <w:rFonts w:ascii="Tahoma" w:hAnsi="Tahoma" w:cs="Tahoma"/>
          <w:b/>
          <w:shadow/>
          <w:lang w:val="pt-BR"/>
        </w:rPr>
      </w:pPr>
    </w:p>
    <w:p w:rsidR="00D968B1" w:rsidRPr="00C47852" w:rsidRDefault="00D968B1" w:rsidP="00D968B1">
      <w:pPr>
        <w:jc w:val="both"/>
        <w:rPr>
          <w:rFonts w:ascii="Tahoma" w:hAnsi="Tahoma" w:cs="Tahoma"/>
          <w:b/>
          <w:shadow/>
          <w:lang w:val="pt-BR"/>
        </w:rPr>
      </w:pPr>
    </w:p>
    <w:p w:rsidR="00D968B1" w:rsidRPr="00C47852" w:rsidRDefault="00D968B1" w:rsidP="00D968B1">
      <w:pPr>
        <w:jc w:val="both"/>
        <w:rPr>
          <w:rFonts w:ascii="Tahoma" w:hAnsi="Tahoma" w:cs="Tahoma"/>
          <w:b/>
          <w:shadow/>
          <w:lang w:val="pt-BR"/>
        </w:rPr>
      </w:pPr>
      <w:r w:rsidRPr="00C47852">
        <w:rPr>
          <w:rFonts w:ascii="Tahoma" w:hAnsi="Tahoma" w:cs="Tahoma"/>
          <w:b/>
          <w:shadow/>
          <w:lang w:val="pt-BR"/>
        </w:rPr>
        <w:t xml:space="preserve">                      VOCAL           </w:t>
      </w:r>
      <w:r w:rsidRPr="00C47852">
        <w:rPr>
          <w:rFonts w:ascii="Tahoma" w:hAnsi="Tahoma" w:cs="Tahoma"/>
          <w:b/>
          <w:shadow/>
          <w:lang w:val="pt-BR"/>
        </w:rPr>
        <w:tab/>
      </w:r>
      <w:r w:rsidRPr="00C47852">
        <w:rPr>
          <w:rFonts w:ascii="Tahoma" w:hAnsi="Tahoma" w:cs="Tahoma"/>
          <w:b/>
          <w:shadow/>
          <w:lang w:val="pt-BR"/>
        </w:rPr>
        <w:tab/>
        <w:t xml:space="preserve">                                                              VOCAL</w:t>
      </w:r>
    </w:p>
    <w:p w:rsidR="00D968B1" w:rsidRPr="00C47852" w:rsidRDefault="00D968B1" w:rsidP="00D968B1">
      <w:pPr>
        <w:ind w:firstLine="708"/>
        <w:jc w:val="both"/>
        <w:rPr>
          <w:rFonts w:ascii="Tahoma" w:hAnsi="Tahoma" w:cs="Tahoma"/>
          <w:b/>
          <w:shadow/>
          <w:lang w:val="pt-BR"/>
        </w:rPr>
      </w:pPr>
    </w:p>
    <w:p w:rsidR="00D968B1" w:rsidRPr="00C47852" w:rsidRDefault="00D968B1" w:rsidP="00D968B1">
      <w:pPr>
        <w:ind w:firstLine="708"/>
        <w:jc w:val="both"/>
        <w:rPr>
          <w:rFonts w:ascii="Tahoma" w:hAnsi="Tahoma" w:cs="Tahoma"/>
          <w:b/>
          <w:shadow/>
          <w:lang w:val="pt-BR"/>
        </w:rPr>
      </w:pPr>
    </w:p>
    <w:p w:rsidR="00D968B1" w:rsidRPr="00C47852" w:rsidRDefault="00D968B1" w:rsidP="00D968B1">
      <w:pPr>
        <w:jc w:val="both"/>
        <w:rPr>
          <w:rFonts w:ascii="Tahoma" w:hAnsi="Tahoma" w:cs="Tahoma"/>
          <w:lang w:val="pt-BR"/>
        </w:rPr>
      </w:pPr>
      <w:proofErr w:type="gramStart"/>
      <w:r w:rsidRPr="00C47852">
        <w:rPr>
          <w:rFonts w:ascii="Tahoma" w:hAnsi="Tahoma" w:cs="Tahoma"/>
          <w:lang w:val="pt-BR"/>
        </w:rPr>
        <w:t>ss.</w:t>
      </w:r>
      <w:proofErr w:type="gramEnd"/>
    </w:p>
    <w:p w:rsidR="00D968B1" w:rsidRPr="00C47852" w:rsidRDefault="00D968B1" w:rsidP="00D968B1">
      <w:pPr>
        <w:pStyle w:val="Textoindependiente21"/>
        <w:rPr>
          <w:rFonts w:cs="Tahoma"/>
          <w:sz w:val="20"/>
          <w:lang w:val="en-US"/>
        </w:rPr>
      </w:pPr>
      <w:r w:rsidRPr="00C47852">
        <w:rPr>
          <w:rFonts w:cs="Tahoma"/>
          <w:sz w:val="20"/>
          <w:lang w:val="en-US"/>
        </w:rPr>
        <w:t>Basulto Liewald.</w:t>
      </w:r>
    </w:p>
    <w:p w:rsidR="00D968B1" w:rsidRPr="00C47852" w:rsidRDefault="00D968B1" w:rsidP="00D968B1">
      <w:pPr>
        <w:pStyle w:val="Textoindependiente21"/>
        <w:rPr>
          <w:rFonts w:cs="Tahoma"/>
          <w:sz w:val="20"/>
          <w:lang w:val="en-US"/>
        </w:rPr>
      </w:pPr>
      <w:r w:rsidRPr="00C47852">
        <w:rPr>
          <w:rFonts w:cs="Tahoma"/>
          <w:sz w:val="20"/>
          <w:lang w:val="en-US"/>
        </w:rPr>
        <w:t>Ramírez Maynetto.</w:t>
      </w:r>
    </w:p>
    <w:p w:rsidR="00D968B1" w:rsidRPr="00C47852" w:rsidRDefault="00D968B1" w:rsidP="00D968B1">
      <w:pPr>
        <w:pStyle w:val="Textoindependiente21"/>
        <w:rPr>
          <w:rFonts w:cs="Tahoma"/>
          <w:sz w:val="20"/>
        </w:rPr>
      </w:pPr>
      <w:r w:rsidRPr="00C47852">
        <w:rPr>
          <w:rFonts w:cs="Tahoma"/>
          <w:sz w:val="20"/>
        </w:rPr>
        <w:t>Fonseca Oliveira.</w:t>
      </w:r>
    </w:p>
    <w:p w:rsidR="00D968B1" w:rsidRPr="00C47852" w:rsidRDefault="00D968B1" w:rsidP="00D968B1">
      <w:pPr>
        <w:rPr>
          <w:rFonts w:ascii="Tahoma" w:hAnsi="Tahoma" w:cs="Tahoma"/>
        </w:rPr>
      </w:pPr>
    </w:p>
    <w:p w:rsidR="00260F0B" w:rsidRPr="00C47852" w:rsidRDefault="003436AC">
      <w:pPr>
        <w:rPr>
          <w:rFonts w:ascii="Tahoma" w:hAnsi="Tahoma" w:cs="Tahoma"/>
        </w:rPr>
      </w:pPr>
    </w:p>
    <w:sectPr w:rsidR="00260F0B" w:rsidRPr="00C47852" w:rsidSect="004A493F">
      <w:headerReference w:type="default" r:id="rId7"/>
      <w:footerReference w:type="even" r:id="rId8"/>
      <w:footerReference w:type="default" r:id="rId9"/>
      <w:pgSz w:w="11907" w:h="16840" w:code="9"/>
      <w:pgMar w:top="2694" w:right="1559" w:bottom="1418"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0E4" w:rsidRDefault="00FB20E4" w:rsidP="00D968B1">
      <w:r>
        <w:separator/>
      </w:r>
    </w:p>
  </w:endnote>
  <w:endnote w:type="continuationSeparator" w:id="1">
    <w:p w:rsidR="00FB20E4" w:rsidRDefault="00FB20E4" w:rsidP="00D968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7" w:rsidRDefault="00180D8F" w:rsidP="000D0D67">
    <w:pPr>
      <w:pStyle w:val="Piedepgina"/>
      <w:framePr w:wrap="around" w:vAnchor="text" w:hAnchor="margin" w:xAlign="center" w:y="1"/>
      <w:rPr>
        <w:rStyle w:val="Nmerodepgina"/>
      </w:rPr>
    </w:pPr>
    <w:r>
      <w:rPr>
        <w:rStyle w:val="Nmerodepgina"/>
      </w:rPr>
      <w:fldChar w:fldCharType="begin"/>
    </w:r>
    <w:r w:rsidR="00C47852">
      <w:rPr>
        <w:rStyle w:val="Nmerodepgina"/>
      </w:rPr>
      <w:instrText xml:space="preserve">PAGE  </w:instrText>
    </w:r>
    <w:r>
      <w:rPr>
        <w:rStyle w:val="Nmerodepgina"/>
      </w:rPr>
      <w:fldChar w:fldCharType="end"/>
    </w:r>
  </w:p>
  <w:p w:rsidR="000D0D67" w:rsidRDefault="003436A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7" w:rsidRPr="004A4E6B" w:rsidRDefault="00C47852">
    <w:pPr>
      <w:pStyle w:val="Piedepgina"/>
      <w:framePr w:wrap="around" w:vAnchor="text" w:hAnchor="margin" w:xAlign="center" w:y="1"/>
      <w:rPr>
        <w:rStyle w:val="Nmerodepgina"/>
        <w:i/>
        <w:sz w:val="20"/>
      </w:rPr>
    </w:pPr>
    <w:r w:rsidRPr="004A4E6B">
      <w:rPr>
        <w:rStyle w:val="Nmerodepgina"/>
        <w:i/>
        <w:sz w:val="20"/>
      </w:rPr>
      <w:t xml:space="preserve">Página </w:t>
    </w:r>
    <w:r w:rsidR="00180D8F" w:rsidRPr="004A4E6B">
      <w:rPr>
        <w:rStyle w:val="Nmerodepgina"/>
        <w:i/>
        <w:sz w:val="20"/>
      </w:rPr>
      <w:fldChar w:fldCharType="begin"/>
    </w:r>
    <w:r w:rsidRPr="004A4E6B">
      <w:rPr>
        <w:rStyle w:val="Nmerodepgina"/>
        <w:i/>
        <w:sz w:val="20"/>
      </w:rPr>
      <w:instrText xml:space="preserve"> PAGE </w:instrText>
    </w:r>
    <w:r w:rsidR="00180D8F" w:rsidRPr="004A4E6B">
      <w:rPr>
        <w:rStyle w:val="Nmerodepgina"/>
        <w:i/>
        <w:sz w:val="20"/>
      </w:rPr>
      <w:fldChar w:fldCharType="separate"/>
    </w:r>
    <w:r w:rsidR="003436AC">
      <w:rPr>
        <w:rStyle w:val="Nmerodepgina"/>
        <w:i/>
        <w:noProof/>
        <w:sz w:val="20"/>
      </w:rPr>
      <w:t>5</w:t>
    </w:r>
    <w:r w:rsidR="00180D8F" w:rsidRPr="004A4E6B">
      <w:rPr>
        <w:rStyle w:val="Nmerodepgina"/>
        <w:i/>
        <w:sz w:val="20"/>
      </w:rPr>
      <w:fldChar w:fldCharType="end"/>
    </w:r>
    <w:r w:rsidRPr="004A4E6B">
      <w:rPr>
        <w:rStyle w:val="Nmerodepgina"/>
        <w:i/>
        <w:sz w:val="20"/>
      </w:rPr>
      <w:t xml:space="preserve"> de </w:t>
    </w:r>
    <w:r w:rsidR="00180D8F" w:rsidRPr="004A4E6B">
      <w:rPr>
        <w:rStyle w:val="Nmerodepgina"/>
        <w:i/>
        <w:sz w:val="20"/>
      </w:rPr>
      <w:fldChar w:fldCharType="begin"/>
    </w:r>
    <w:r w:rsidRPr="004A4E6B">
      <w:rPr>
        <w:rStyle w:val="Nmerodepgina"/>
        <w:i/>
        <w:sz w:val="20"/>
      </w:rPr>
      <w:instrText xml:space="preserve"> NUMPAGES </w:instrText>
    </w:r>
    <w:r w:rsidR="00180D8F" w:rsidRPr="004A4E6B">
      <w:rPr>
        <w:rStyle w:val="Nmerodepgina"/>
        <w:i/>
        <w:sz w:val="20"/>
      </w:rPr>
      <w:fldChar w:fldCharType="separate"/>
    </w:r>
    <w:r w:rsidR="003436AC">
      <w:rPr>
        <w:rStyle w:val="Nmerodepgina"/>
        <w:i/>
        <w:noProof/>
        <w:sz w:val="20"/>
      </w:rPr>
      <w:t>8</w:t>
    </w:r>
    <w:r w:rsidR="00180D8F" w:rsidRPr="004A4E6B">
      <w:rPr>
        <w:rStyle w:val="Nmerodepgina"/>
        <w:i/>
        <w:sz w:val="20"/>
      </w:rPr>
      <w:fldChar w:fldCharType="end"/>
    </w:r>
  </w:p>
  <w:p w:rsidR="000D0D67" w:rsidRDefault="003436A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0E4" w:rsidRDefault="00FB20E4" w:rsidP="00D968B1">
      <w:r>
        <w:separator/>
      </w:r>
    </w:p>
  </w:footnote>
  <w:footnote w:type="continuationSeparator" w:id="1">
    <w:p w:rsidR="00FB20E4" w:rsidRDefault="00FB20E4" w:rsidP="00D968B1">
      <w:r>
        <w:continuationSeparator/>
      </w:r>
    </w:p>
  </w:footnote>
  <w:footnote w:id="2">
    <w:p w:rsidR="00D968B1" w:rsidRPr="001965EF" w:rsidRDefault="00D968B1" w:rsidP="00C47852">
      <w:pPr>
        <w:pStyle w:val="Textonotapie"/>
        <w:jc w:val="both"/>
        <w:rPr>
          <w:b/>
          <w:bCs/>
          <w:sz w:val="16"/>
          <w:szCs w:val="16"/>
        </w:rPr>
      </w:pPr>
      <w:r w:rsidRPr="00F0315B">
        <w:rPr>
          <w:rStyle w:val="Refdenotaalpie"/>
          <w:b/>
          <w:bCs/>
          <w:i/>
          <w:iCs/>
          <w:sz w:val="18"/>
          <w:szCs w:val="18"/>
        </w:rPr>
        <w:footnoteRef/>
      </w:r>
      <w:r w:rsidRPr="00F0315B">
        <w:rPr>
          <w:b/>
          <w:bCs/>
          <w:i/>
          <w:iCs/>
          <w:sz w:val="18"/>
          <w:szCs w:val="18"/>
        </w:rPr>
        <w:t xml:space="preserve"> </w:t>
      </w:r>
      <w:r w:rsidRPr="001965EF">
        <w:rPr>
          <w:b/>
          <w:bCs/>
          <w:sz w:val="16"/>
          <w:szCs w:val="16"/>
        </w:rPr>
        <w:t>Artículo 51.- Infracciones y Sanciones Administrativas</w:t>
      </w:r>
    </w:p>
    <w:p w:rsidR="00D968B1" w:rsidRPr="001965EF" w:rsidRDefault="00D968B1" w:rsidP="00C47852">
      <w:pPr>
        <w:pStyle w:val="Textonotapie"/>
        <w:jc w:val="both"/>
        <w:rPr>
          <w:sz w:val="16"/>
          <w:szCs w:val="16"/>
        </w:rPr>
      </w:pPr>
      <w:r w:rsidRPr="001965EF">
        <w:rPr>
          <w:sz w:val="16"/>
          <w:szCs w:val="16"/>
        </w:rPr>
        <w:t>51.1 Infracciones</w:t>
      </w:r>
    </w:p>
    <w:p w:rsidR="00D968B1" w:rsidRPr="001965EF" w:rsidRDefault="00D968B1" w:rsidP="00C47852">
      <w:pPr>
        <w:pStyle w:val="Textonotapie"/>
        <w:jc w:val="both"/>
        <w:rPr>
          <w:sz w:val="16"/>
          <w:szCs w:val="16"/>
        </w:rPr>
      </w:pPr>
      <w:r w:rsidRPr="001965EF">
        <w:rPr>
          <w:sz w:val="16"/>
          <w:szCs w:val="16"/>
        </w:rPr>
        <w:t>Se impondrá sanción administrativa a los proveedores, participantes, postores y/o contratista que:</w:t>
      </w:r>
    </w:p>
    <w:p w:rsidR="00D968B1" w:rsidRPr="001965EF" w:rsidRDefault="00D968B1" w:rsidP="00C47852">
      <w:pPr>
        <w:pStyle w:val="Textonotapie"/>
        <w:jc w:val="both"/>
        <w:rPr>
          <w:sz w:val="16"/>
          <w:szCs w:val="16"/>
        </w:rPr>
      </w:pPr>
      <w:proofErr w:type="gramStart"/>
      <w:r w:rsidRPr="001965EF">
        <w:rPr>
          <w:sz w:val="16"/>
          <w:szCs w:val="16"/>
        </w:rPr>
        <w:t>a)No</w:t>
      </w:r>
      <w:proofErr w:type="gramEnd"/>
      <w:r w:rsidRPr="001965EF">
        <w:rPr>
          <w:sz w:val="16"/>
          <w:szCs w:val="16"/>
        </w:rPr>
        <w:t xml:space="preserve"> mantengan su oferta hasta el consentimiento de la buena pro o de resultar ganadores hasta la suscripción de contrato, no suscriban injustificadamente el contrato o no reciban la orden de compra o de servicio emitida a su favor.</w:t>
      </w:r>
    </w:p>
    <w:p w:rsidR="00D968B1" w:rsidRDefault="00D968B1" w:rsidP="00C47852">
      <w:pPr>
        <w:pStyle w:val="Textonotapie"/>
        <w:jc w:val="both"/>
      </w:pPr>
      <w:r w:rsidRPr="001965EF">
        <w:rPr>
          <w:sz w:val="16"/>
          <w:szCs w:val="16"/>
        </w:rPr>
        <w:t>e) Participen en procesos de selección o suscriban un contrato sin contar con inscripción vigente en el Registro Nacional de Proveedores (RNP).</w:t>
      </w:r>
    </w:p>
  </w:footnote>
  <w:footnote w:id="3">
    <w:p w:rsidR="00D968B1" w:rsidRPr="001965EF" w:rsidRDefault="00D968B1" w:rsidP="00C47852">
      <w:pPr>
        <w:pStyle w:val="Textonotapie"/>
        <w:jc w:val="both"/>
        <w:rPr>
          <w:b/>
          <w:bCs/>
          <w:sz w:val="16"/>
          <w:szCs w:val="16"/>
        </w:rPr>
      </w:pPr>
      <w:r w:rsidRPr="001965EF">
        <w:rPr>
          <w:rStyle w:val="Refdenotaalpie"/>
          <w:b/>
          <w:bCs/>
          <w:sz w:val="16"/>
          <w:szCs w:val="16"/>
        </w:rPr>
        <w:footnoteRef/>
      </w:r>
      <w:r w:rsidRPr="001965EF">
        <w:rPr>
          <w:b/>
          <w:bCs/>
          <w:sz w:val="16"/>
          <w:szCs w:val="16"/>
        </w:rPr>
        <w:t xml:space="preserve"> Artículo 237.- Infracciones y Sanciones Administrativas</w:t>
      </w:r>
    </w:p>
    <w:p w:rsidR="00D968B1" w:rsidRPr="001965EF" w:rsidRDefault="00D968B1" w:rsidP="00C47852">
      <w:pPr>
        <w:pStyle w:val="Textonotapie"/>
        <w:jc w:val="both"/>
        <w:rPr>
          <w:sz w:val="16"/>
          <w:szCs w:val="16"/>
        </w:rPr>
      </w:pPr>
      <w:r w:rsidRPr="001965EF">
        <w:rPr>
          <w:sz w:val="16"/>
          <w:szCs w:val="16"/>
        </w:rPr>
        <w:t>1.-Infracciones</w:t>
      </w:r>
    </w:p>
    <w:p w:rsidR="00D968B1" w:rsidRPr="001965EF" w:rsidRDefault="00D968B1" w:rsidP="00C47852">
      <w:pPr>
        <w:pStyle w:val="Textonotapie"/>
        <w:jc w:val="both"/>
        <w:rPr>
          <w:sz w:val="16"/>
          <w:szCs w:val="16"/>
        </w:rPr>
      </w:pPr>
      <w:r w:rsidRPr="001965EF">
        <w:rPr>
          <w:sz w:val="16"/>
          <w:szCs w:val="16"/>
        </w:rPr>
        <w:t>Se impondrá sanción administrativa a los proveedores, participantes, postores y/o contratista que:</w:t>
      </w:r>
    </w:p>
    <w:p w:rsidR="00D968B1" w:rsidRPr="001965EF" w:rsidRDefault="00D968B1" w:rsidP="00C47852">
      <w:pPr>
        <w:pStyle w:val="Textonotapie"/>
        <w:jc w:val="both"/>
        <w:rPr>
          <w:sz w:val="16"/>
          <w:szCs w:val="16"/>
        </w:rPr>
      </w:pPr>
      <w:proofErr w:type="gramStart"/>
      <w:r w:rsidRPr="001965EF">
        <w:rPr>
          <w:sz w:val="16"/>
          <w:szCs w:val="16"/>
        </w:rPr>
        <w:t>a)No</w:t>
      </w:r>
      <w:proofErr w:type="gramEnd"/>
      <w:r w:rsidRPr="001965EF">
        <w:rPr>
          <w:sz w:val="16"/>
          <w:szCs w:val="16"/>
        </w:rPr>
        <w:t xml:space="preserve"> mantengan su oferta hasta el consentimiento de la buena pro o de resultar ganadores hasta la suscripción de contrato, no suscriban injustificadamente el contrato o no reciban la orden de compra o de servicio emitida a su favor.</w:t>
      </w:r>
    </w:p>
    <w:p w:rsidR="00D968B1" w:rsidRPr="001965EF" w:rsidRDefault="00D968B1" w:rsidP="00C47852">
      <w:pPr>
        <w:pStyle w:val="Textonotapie"/>
        <w:jc w:val="both"/>
        <w:rPr>
          <w:sz w:val="16"/>
          <w:szCs w:val="16"/>
        </w:rPr>
      </w:pPr>
      <w:r w:rsidRPr="001965EF">
        <w:rPr>
          <w:sz w:val="16"/>
          <w:szCs w:val="16"/>
        </w:rPr>
        <w:t>e) Participen en procesos de selección o suscriban un contrato sin contar con inscripción vigente en el Registro Nacional de Proveedores (RNP).</w:t>
      </w:r>
    </w:p>
    <w:p w:rsidR="00D968B1" w:rsidRDefault="00D968B1" w:rsidP="00D968B1">
      <w:pPr>
        <w:pStyle w:val="Textonotapie"/>
      </w:pPr>
    </w:p>
  </w:footnote>
  <w:footnote w:id="4">
    <w:p w:rsidR="00D968B1" w:rsidRPr="00196726" w:rsidRDefault="00D968B1" w:rsidP="00D968B1">
      <w:pPr>
        <w:pStyle w:val="Textonotapie"/>
        <w:ind w:left="142" w:hanging="142"/>
        <w:rPr>
          <w:b/>
          <w:bCs/>
          <w:sz w:val="16"/>
          <w:szCs w:val="16"/>
        </w:rPr>
      </w:pPr>
      <w:r w:rsidRPr="00196726">
        <w:rPr>
          <w:rStyle w:val="Refdenotaalpie"/>
          <w:i/>
          <w:iCs/>
          <w:sz w:val="16"/>
          <w:szCs w:val="16"/>
        </w:rPr>
        <w:footnoteRef/>
      </w:r>
      <w:r w:rsidRPr="00196726">
        <w:rPr>
          <w:b/>
          <w:bCs/>
          <w:i/>
          <w:iCs/>
          <w:sz w:val="16"/>
          <w:szCs w:val="16"/>
        </w:rPr>
        <w:t xml:space="preserve"> </w:t>
      </w:r>
      <w:r w:rsidRPr="00196726">
        <w:rPr>
          <w:b/>
          <w:bCs/>
          <w:sz w:val="16"/>
          <w:szCs w:val="16"/>
        </w:rPr>
        <w:t>Artículo 245.- Determinación gradual de la sanción.-</w:t>
      </w:r>
    </w:p>
    <w:p w:rsidR="00D968B1" w:rsidRPr="00196726" w:rsidRDefault="00D968B1" w:rsidP="00D968B1">
      <w:pPr>
        <w:pStyle w:val="Textonotapie"/>
        <w:ind w:left="142"/>
        <w:rPr>
          <w:sz w:val="16"/>
          <w:szCs w:val="16"/>
        </w:rPr>
      </w:pPr>
      <w:r w:rsidRPr="00196726">
        <w:rPr>
          <w:sz w:val="16"/>
          <w:szCs w:val="16"/>
        </w:rPr>
        <w:t>Para graduar la sanción a imponerse conforme a las disposiciones del presente Título, se considerarán los siguientes criterios:</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Naturaleza de la infracción.</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Intencionalidad del infractor.</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Daño causado.</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Reiterancia.</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El reconocimiento de la infracción cometida antes de que sea detectada.</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Circunstancias de tiempo, lugar y modo.</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Condiciones del infractor.</w:t>
      </w:r>
    </w:p>
    <w:p w:rsidR="00D968B1" w:rsidRPr="00196726" w:rsidRDefault="00D968B1" w:rsidP="00D968B1">
      <w:pPr>
        <w:pStyle w:val="Textonotapie"/>
        <w:numPr>
          <w:ilvl w:val="0"/>
          <w:numId w:val="7"/>
        </w:numPr>
        <w:tabs>
          <w:tab w:val="clear" w:pos="720"/>
          <w:tab w:val="num" w:pos="284"/>
        </w:tabs>
        <w:ind w:left="284" w:firstLine="0"/>
        <w:rPr>
          <w:sz w:val="16"/>
          <w:szCs w:val="16"/>
        </w:rPr>
      </w:pPr>
      <w:r w:rsidRPr="00196726">
        <w:rPr>
          <w:sz w:val="16"/>
          <w:szCs w:val="16"/>
        </w:rPr>
        <w:t>Conducta procesal del infractor.</w:t>
      </w:r>
    </w:p>
    <w:p w:rsidR="00D968B1" w:rsidRDefault="00D968B1" w:rsidP="00D968B1">
      <w:pPr>
        <w:pStyle w:val="Textonotapie"/>
        <w:ind w:left="284"/>
      </w:pPr>
    </w:p>
  </w:footnote>
  <w:footnote w:id="5">
    <w:p w:rsidR="00D968B1" w:rsidRPr="00713CED" w:rsidRDefault="00D968B1" w:rsidP="00D968B1">
      <w:pPr>
        <w:pStyle w:val="Textonotapie"/>
        <w:tabs>
          <w:tab w:val="left" w:pos="360"/>
        </w:tabs>
        <w:ind w:left="360" w:hanging="360"/>
        <w:rPr>
          <w:i/>
          <w:iCs/>
          <w:sz w:val="16"/>
          <w:szCs w:val="16"/>
        </w:rPr>
      </w:pPr>
      <w:r w:rsidRPr="00713CED">
        <w:rPr>
          <w:rStyle w:val="Refdenotaalpie"/>
          <w:i/>
          <w:iCs/>
          <w:sz w:val="16"/>
          <w:szCs w:val="16"/>
        </w:rPr>
        <w:footnoteRef/>
      </w:r>
      <w:r w:rsidRPr="00713CED">
        <w:rPr>
          <w:i/>
          <w:iCs/>
          <w:sz w:val="16"/>
          <w:szCs w:val="16"/>
        </w:rPr>
        <w:t xml:space="preserve">  “</w:t>
      </w:r>
      <w:r w:rsidRPr="00713CED">
        <w:rPr>
          <w:b/>
          <w:bCs/>
          <w:i/>
          <w:iCs/>
          <w:sz w:val="16"/>
          <w:szCs w:val="16"/>
        </w:rPr>
        <w:t>Artículo 230.- Principios de la potestad sancionadora</w:t>
      </w:r>
    </w:p>
    <w:p w:rsidR="00D968B1" w:rsidRPr="00713CED" w:rsidRDefault="00D968B1" w:rsidP="00D968B1">
      <w:pPr>
        <w:pStyle w:val="Textonotapie"/>
        <w:tabs>
          <w:tab w:val="left" w:pos="360"/>
        </w:tabs>
        <w:ind w:left="360" w:hanging="360"/>
        <w:rPr>
          <w:i/>
          <w:iCs/>
          <w:sz w:val="16"/>
          <w:szCs w:val="16"/>
        </w:rPr>
      </w:pPr>
      <w:r w:rsidRPr="00713CED">
        <w:rPr>
          <w:i/>
          <w:iCs/>
          <w:sz w:val="16"/>
          <w:szCs w:val="16"/>
        </w:rPr>
        <w:tab/>
        <w:t>(…)</w:t>
      </w:r>
    </w:p>
    <w:p w:rsidR="00D968B1" w:rsidRPr="00713CED" w:rsidRDefault="00D968B1" w:rsidP="00D968B1">
      <w:pPr>
        <w:pStyle w:val="Textonotapie"/>
        <w:tabs>
          <w:tab w:val="left" w:pos="360"/>
        </w:tabs>
        <w:ind w:left="360" w:hanging="360"/>
        <w:rPr>
          <w:i/>
          <w:iCs/>
          <w:sz w:val="16"/>
          <w:szCs w:val="16"/>
        </w:rPr>
      </w:pPr>
      <w:r w:rsidRPr="00713CED">
        <w:rPr>
          <w:b/>
          <w:bCs/>
          <w:i/>
          <w:iCs/>
          <w:sz w:val="16"/>
          <w:szCs w:val="16"/>
        </w:rPr>
        <w:tab/>
        <w:t>3. Razonabilidad</w:t>
      </w:r>
      <w:r w:rsidRPr="00713CED">
        <w:rPr>
          <w:i/>
          <w:iCs/>
          <w:sz w:val="16"/>
          <w:szCs w:val="16"/>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D968B1" w:rsidRDefault="00D968B1" w:rsidP="00D968B1">
      <w:pPr>
        <w:pStyle w:val="Textonotapie"/>
        <w:tabs>
          <w:tab w:val="left" w:pos="360"/>
        </w:tabs>
        <w:ind w:left="360" w:hanging="360"/>
      </w:pPr>
      <w:r w:rsidRPr="00713CED">
        <w:rPr>
          <w:i/>
          <w:iCs/>
          <w:sz w:val="16"/>
          <w:szCs w:val="16"/>
        </w:rPr>
        <w:t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6AC" w:rsidRDefault="003436AC" w:rsidP="003436A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3436AC" w:rsidRDefault="003436AC" w:rsidP="003436AC">
    <w:pPr>
      <w:pStyle w:val="Encabezado"/>
      <w:rPr>
        <w:noProof/>
      </w:rPr>
    </w:pPr>
  </w:p>
  <w:p w:rsidR="003436AC" w:rsidRDefault="003436AC" w:rsidP="003436AC">
    <w:pPr>
      <w:pStyle w:val="Encabezado"/>
      <w:rPr>
        <w:noProof/>
      </w:rPr>
    </w:pPr>
  </w:p>
  <w:p w:rsidR="003436AC" w:rsidRDefault="003436AC" w:rsidP="003436AC">
    <w:pPr>
      <w:pStyle w:val="Encabezado"/>
      <w:rPr>
        <w:noProof/>
      </w:rPr>
    </w:pPr>
  </w:p>
  <w:p w:rsidR="003436AC" w:rsidRDefault="003436AC" w:rsidP="003436AC">
    <w:pPr>
      <w:pStyle w:val="Encabezado"/>
      <w:jc w:val="center"/>
    </w:pPr>
    <w:r>
      <w:rPr>
        <w:rFonts w:ascii="Monotype Corsiva" w:hAnsi="Monotype Corsiva"/>
        <w:b/>
        <w:sz w:val="44"/>
        <w:szCs w:val="44"/>
      </w:rPr>
      <w:t xml:space="preserve">Resolución Nº   </w:t>
    </w:r>
    <w:r>
      <w:rPr>
        <w:rFonts w:ascii="Tahoma" w:hAnsi="Tahoma" w:cs="Tahoma"/>
        <w:b/>
        <w:sz w:val="44"/>
        <w:szCs w:val="44"/>
      </w:rPr>
      <w:t>056-2011-TC-S1</w:t>
    </w:r>
  </w:p>
  <w:p w:rsidR="003436AC" w:rsidRDefault="003436A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bCs/>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nsid w:val="2E970C2A"/>
    <w:multiLevelType w:val="hybridMultilevel"/>
    <w:tmpl w:val="3724E4FE"/>
    <w:lvl w:ilvl="0" w:tplc="420E700E">
      <w:start w:val="1"/>
      <w:numFmt w:val="lowerRoman"/>
      <w:lvlText w:val="%1)"/>
      <w:lvlJc w:val="left"/>
      <w:pPr>
        <w:tabs>
          <w:tab w:val="num" w:pos="1428"/>
        </w:tabs>
        <w:ind w:left="1428" w:hanging="720"/>
      </w:pPr>
      <w:rPr>
        <w:rFonts w:hint="default"/>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lvl>
    <w:lvl w:ilvl="4" w:tplc="0C0A0019">
      <w:start w:val="1"/>
      <w:numFmt w:val="lowerLetter"/>
      <w:lvlText w:val="%5."/>
      <w:lvlJc w:val="left"/>
      <w:pPr>
        <w:tabs>
          <w:tab w:val="num" w:pos="3948"/>
        </w:tabs>
        <w:ind w:left="3948" w:hanging="360"/>
      </w:pPr>
    </w:lvl>
    <w:lvl w:ilvl="5" w:tplc="0C0A001B">
      <w:start w:val="1"/>
      <w:numFmt w:val="lowerRoman"/>
      <w:lvlText w:val="%6."/>
      <w:lvlJc w:val="right"/>
      <w:pPr>
        <w:tabs>
          <w:tab w:val="num" w:pos="4668"/>
        </w:tabs>
        <w:ind w:left="4668" w:hanging="180"/>
      </w:pPr>
    </w:lvl>
    <w:lvl w:ilvl="6" w:tplc="0C0A000F">
      <w:start w:val="1"/>
      <w:numFmt w:val="decimal"/>
      <w:lvlText w:val="%7."/>
      <w:lvlJc w:val="left"/>
      <w:pPr>
        <w:tabs>
          <w:tab w:val="num" w:pos="5388"/>
        </w:tabs>
        <w:ind w:left="5388" w:hanging="360"/>
      </w:pPr>
    </w:lvl>
    <w:lvl w:ilvl="7" w:tplc="0C0A0019">
      <w:start w:val="1"/>
      <w:numFmt w:val="lowerLetter"/>
      <w:lvlText w:val="%8."/>
      <w:lvlJc w:val="left"/>
      <w:pPr>
        <w:tabs>
          <w:tab w:val="num" w:pos="6108"/>
        </w:tabs>
        <w:ind w:left="6108" w:hanging="360"/>
      </w:pPr>
    </w:lvl>
    <w:lvl w:ilvl="8" w:tplc="0C0A001B">
      <w:start w:val="1"/>
      <w:numFmt w:val="lowerRoman"/>
      <w:lvlText w:val="%9."/>
      <w:lvlJc w:val="right"/>
      <w:pPr>
        <w:tabs>
          <w:tab w:val="num" w:pos="6828"/>
        </w:tabs>
        <w:ind w:left="6828" w:hanging="180"/>
      </w:pPr>
    </w:lvl>
  </w:abstractNum>
  <w:abstractNum w:abstractNumId="4">
    <w:nsid w:val="2EF0734A"/>
    <w:multiLevelType w:val="hybridMultilevel"/>
    <w:tmpl w:val="972CF9BA"/>
    <w:lvl w:ilvl="0" w:tplc="117ABD30">
      <w:start w:val="1"/>
      <w:numFmt w:val="upperRoman"/>
      <w:lvlText w:val="%1."/>
      <w:lvlJc w:val="right"/>
      <w:pPr>
        <w:ind w:left="1440" w:hanging="360"/>
      </w:pPr>
      <w:rPr>
        <w:sz w:val="20"/>
        <w:szCs w:val="2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51B8397D"/>
    <w:multiLevelType w:val="hybridMultilevel"/>
    <w:tmpl w:val="F982B062"/>
    <w:lvl w:ilvl="0" w:tplc="6FB00CFE">
      <w:start w:val="1"/>
      <w:numFmt w:val="lowerRoman"/>
      <w:lvlText w:val="%1)"/>
      <w:lvlJc w:val="left"/>
      <w:pPr>
        <w:tabs>
          <w:tab w:val="num" w:pos="1080"/>
        </w:tabs>
        <w:ind w:left="1080" w:hanging="720"/>
      </w:pPr>
    </w:lvl>
    <w:lvl w:ilvl="1" w:tplc="534C01EA">
      <w:start w:val="1"/>
      <w:numFmt w:val="decimal"/>
      <w:lvlText w:val="%2."/>
      <w:lvlJc w:val="left"/>
      <w:pPr>
        <w:tabs>
          <w:tab w:val="num" w:pos="644"/>
        </w:tabs>
        <w:ind w:left="644" w:hanging="360"/>
      </w:pPr>
      <w:rPr>
        <w:b/>
        <w:bCs/>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58EA581A"/>
    <w:multiLevelType w:val="hybridMultilevel"/>
    <w:tmpl w:val="60B2E28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59D33E66"/>
    <w:multiLevelType w:val="hybridMultilevel"/>
    <w:tmpl w:val="285216B2"/>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6FC5190B"/>
    <w:multiLevelType w:val="hybridMultilevel"/>
    <w:tmpl w:val="79FC44BE"/>
    <w:lvl w:ilvl="0" w:tplc="937451A4">
      <w:start w:val="1"/>
      <w:numFmt w:val="bullet"/>
      <w:lvlText w:val="−"/>
      <w:lvlJc w:val="left"/>
      <w:pPr>
        <w:tabs>
          <w:tab w:val="num" w:pos="1965"/>
        </w:tabs>
        <w:ind w:left="1965" w:hanging="360"/>
      </w:pPr>
      <w:rPr>
        <w:rFonts w:ascii="Times New Roman" w:eastAsia="Times New Roman" w:hAnsi="Times New Roman" w:hint="default"/>
      </w:rPr>
    </w:lvl>
    <w:lvl w:ilvl="1" w:tplc="0C0A0019">
      <w:start w:val="3"/>
      <w:numFmt w:val="upperRoman"/>
      <w:lvlText w:val="%2."/>
      <w:lvlJc w:val="left"/>
      <w:pPr>
        <w:tabs>
          <w:tab w:val="num" w:pos="1800"/>
        </w:tabs>
        <w:ind w:left="1800" w:hanging="720"/>
      </w:pPr>
      <w:rPr>
        <w:rFonts w:hint="default"/>
        <w:b w:val="0"/>
        <w:bCs w:val="0"/>
      </w:rPr>
    </w:lvl>
    <w:lvl w:ilvl="2" w:tplc="0C0A001B">
      <w:start w:val="1"/>
      <w:numFmt w:val="decimal"/>
      <w:lvlText w:val="3.%3"/>
      <w:lvlJc w:val="left"/>
      <w:pPr>
        <w:tabs>
          <w:tab w:val="num" w:pos="2160"/>
        </w:tabs>
        <w:ind w:left="2160" w:hanging="360"/>
      </w:pPr>
      <w:rPr>
        <w:rFonts w:hint="default"/>
      </w:rPr>
    </w:lvl>
    <w:lvl w:ilvl="3" w:tplc="0C0A000F">
      <w:start w:val="1"/>
      <w:numFmt w:val="lowerLetter"/>
      <w:lvlText w:val="%4)"/>
      <w:lvlJc w:val="left"/>
      <w:pPr>
        <w:tabs>
          <w:tab w:val="num" w:pos="2880"/>
        </w:tabs>
        <w:ind w:left="2880" w:hanging="360"/>
      </w:pPr>
      <w:rPr>
        <w:rFonts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cs="Symbol" w:hint="default"/>
      </w:rPr>
    </w:lvl>
    <w:lvl w:ilvl="7" w:tplc="0C0A0019">
      <w:start w:val="1"/>
      <w:numFmt w:val="bullet"/>
      <w:lvlText w:val="o"/>
      <w:lvlJc w:val="left"/>
      <w:pPr>
        <w:tabs>
          <w:tab w:val="num" w:pos="5760"/>
        </w:tabs>
        <w:ind w:left="5760" w:hanging="360"/>
      </w:pPr>
      <w:rPr>
        <w:rFonts w:ascii="Courier New" w:hAnsi="Courier New" w:cs="Courier New" w:hint="default"/>
      </w:rPr>
    </w:lvl>
    <w:lvl w:ilvl="8" w:tplc="0C0A001B">
      <w:start w:val="1"/>
      <w:numFmt w:val="bullet"/>
      <w:lvlText w:val=""/>
      <w:lvlJc w:val="left"/>
      <w:pPr>
        <w:tabs>
          <w:tab w:val="num" w:pos="6480"/>
        </w:tabs>
        <w:ind w:left="6480" w:hanging="360"/>
      </w:pPr>
      <w:rPr>
        <w:rFonts w:ascii="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968B1"/>
    <w:rsid w:val="00180D8F"/>
    <w:rsid w:val="00193598"/>
    <w:rsid w:val="002D08A4"/>
    <w:rsid w:val="003436AC"/>
    <w:rsid w:val="004708B0"/>
    <w:rsid w:val="0066645E"/>
    <w:rsid w:val="00811995"/>
    <w:rsid w:val="0096071E"/>
    <w:rsid w:val="00B219B3"/>
    <w:rsid w:val="00C47852"/>
    <w:rsid w:val="00D968B1"/>
    <w:rsid w:val="00FB20E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8B1"/>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D968B1"/>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D968B1"/>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D968B1"/>
  </w:style>
  <w:style w:type="paragraph" w:styleId="Textoindependiente">
    <w:name w:val="Body Text"/>
    <w:basedOn w:val="Normal"/>
    <w:link w:val="TextoindependienteCar"/>
    <w:rsid w:val="00D968B1"/>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D968B1"/>
    <w:rPr>
      <w:rFonts w:ascii="Tahoma" w:eastAsia="Times New Roman" w:hAnsi="Tahoma" w:cs="Times New Roman"/>
      <w:szCs w:val="20"/>
      <w:lang w:val="es-ES_tradnl" w:eastAsia="es-ES"/>
    </w:rPr>
  </w:style>
  <w:style w:type="paragraph" w:customStyle="1" w:styleId="Textoindependiente21">
    <w:name w:val="Texto independiente 21"/>
    <w:basedOn w:val="Normal"/>
    <w:rsid w:val="00D968B1"/>
    <w:pPr>
      <w:jc w:val="both"/>
    </w:pPr>
    <w:rPr>
      <w:rFonts w:ascii="Tahoma" w:hAnsi="Tahoma"/>
      <w:sz w:val="22"/>
    </w:rPr>
  </w:style>
  <w:style w:type="paragraph" w:styleId="Textoindependiente3">
    <w:name w:val="Body Text 3"/>
    <w:basedOn w:val="Normal"/>
    <w:link w:val="Textoindependiente3Car"/>
    <w:rsid w:val="00D968B1"/>
    <w:pPr>
      <w:spacing w:after="120"/>
    </w:pPr>
    <w:rPr>
      <w:sz w:val="16"/>
      <w:szCs w:val="16"/>
      <w:lang w:val="es-PE"/>
    </w:rPr>
  </w:style>
  <w:style w:type="character" w:customStyle="1" w:styleId="Textoindependiente3Car">
    <w:name w:val="Texto independiente 3 Car"/>
    <w:basedOn w:val="Fuentedeprrafopredeter"/>
    <w:link w:val="Textoindependiente3"/>
    <w:rsid w:val="00D968B1"/>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
    <w:basedOn w:val="Normal"/>
    <w:link w:val="TextonotapieCar"/>
    <w:uiPriority w:val="99"/>
    <w:semiHidden/>
    <w:rsid w:val="00D968B1"/>
  </w:style>
  <w:style w:type="character" w:customStyle="1" w:styleId="TextonotapieCar">
    <w:name w:val="Texto nota pie Car"/>
    <w:aliases w:val="Car Car1,Car Car Car,Texto nota pie1 Car,Car4 Car,Texto independiente1 Car"/>
    <w:basedOn w:val="Fuentedeprrafopredeter"/>
    <w:link w:val="Textonotapie"/>
    <w:uiPriority w:val="99"/>
    <w:rsid w:val="00D968B1"/>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D968B1"/>
    <w:rPr>
      <w:vertAlign w:val="superscript"/>
    </w:rPr>
  </w:style>
  <w:style w:type="paragraph" w:styleId="Prrafodelista">
    <w:name w:val="List Paragraph"/>
    <w:basedOn w:val="Normal"/>
    <w:uiPriority w:val="99"/>
    <w:qFormat/>
    <w:rsid w:val="00D968B1"/>
    <w:pPr>
      <w:widowControl w:val="0"/>
      <w:suppressAutoHyphens/>
      <w:ind w:left="708"/>
    </w:pPr>
    <w:rPr>
      <w:rFonts w:ascii="Tahoma" w:hAnsi="Tahoma" w:cs="Tahoma"/>
      <w:sz w:val="24"/>
      <w:szCs w:val="24"/>
      <w:lang w:val="es-ES_tradnl"/>
    </w:rPr>
  </w:style>
  <w:style w:type="paragraph" w:styleId="Encabezado">
    <w:name w:val="header"/>
    <w:aliases w:val="maria,h"/>
    <w:basedOn w:val="Normal"/>
    <w:link w:val="EncabezadoCar"/>
    <w:uiPriority w:val="99"/>
    <w:semiHidden/>
    <w:unhideWhenUsed/>
    <w:rsid w:val="003436A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3436AC"/>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899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3426</Words>
  <Characters>18847</Characters>
  <Application>Microsoft Office Word</Application>
  <DocSecurity>0</DocSecurity>
  <Lines>157</Lines>
  <Paragraphs>44</Paragraphs>
  <ScaleCrop>false</ScaleCrop>
  <Company/>
  <LinksUpToDate>false</LinksUpToDate>
  <CharactersWithSpaces>22229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5</cp:revision>
  <cp:lastPrinted>2011-01-14T14:35:00Z</cp:lastPrinted>
  <dcterms:created xsi:type="dcterms:W3CDTF">2011-01-14T01:34:00Z</dcterms:created>
  <dcterms:modified xsi:type="dcterms:W3CDTF">2011-02-11T16:27:00Z</dcterms:modified>
</cp:coreProperties>
</file>